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D3A7" w14:textId="410C2304" w:rsidR="0022723E" w:rsidRPr="00C51D72" w:rsidRDefault="003C36C7">
      <w:pPr>
        <w:widowControl w:val="0"/>
        <w:tabs>
          <w:tab w:val="left" w:pos="1134"/>
          <w:tab w:val="left" w:pos="7560"/>
          <w:tab w:val="left" w:pos="10320"/>
        </w:tabs>
        <w:autoSpaceDE w:val="0"/>
        <w:jc w:val="center"/>
        <w:rPr>
          <w:rFonts w:ascii="Times New Roman" w:hAnsi="Times New Roman" w:cs="Times New Roman"/>
          <w:sz w:val="22"/>
          <w:szCs w:val="22"/>
        </w:rPr>
      </w:pPr>
      <w:r w:rsidRPr="00C51D72">
        <w:rPr>
          <w:rFonts w:ascii="Times New Roman" w:hAnsi="Times New Roman" w:cs="Times New Roman"/>
          <w:b/>
          <w:bCs/>
          <w:sz w:val="22"/>
          <w:szCs w:val="22"/>
          <w:u w:val="single"/>
        </w:rPr>
        <w:t>S</w:t>
      </w:r>
      <w:r w:rsidR="00D527FE">
        <w:rPr>
          <w:rFonts w:ascii="Times New Roman" w:hAnsi="Times New Roman" w:cs="Times New Roman"/>
          <w:b/>
          <w:bCs/>
          <w:sz w:val="22"/>
          <w:szCs w:val="22"/>
          <w:u w:val="single"/>
        </w:rPr>
        <w:t>É</w:t>
      </w:r>
      <w:r w:rsidRPr="00C51D72">
        <w:rPr>
          <w:rFonts w:ascii="Times New Roman" w:hAnsi="Times New Roman" w:cs="Times New Roman"/>
          <w:b/>
          <w:bCs/>
          <w:sz w:val="22"/>
          <w:szCs w:val="22"/>
          <w:u w:val="single"/>
        </w:rPr>
        <w:t xml:space="preserve">ANCE DU </w:t>
      </w:r>
      <w:r w:rsidRPr="00C51D72">
        <w:rPr>
          <w:rFonts w:ascii="Times New Roman" w:hAnsi="Times New Roman" w:cs="Times New Roman"/>
          <w:b/>
          <w:bCs/>
          <w:caps/>
          <w:sz w:val="22"/>
          <w:szCs w:val="22"/>
          <w:u w:val="single"/>
        </w:rPr>
        <w:t>06 novembre 2025</w:t>
      </w:r>
    </w:p>
    <w:p w14:paraId="316A8868" w14:textId="77777777" w:rsidR="0022723E" w:rsidRPr="00C51D72" w:rsidRDefault="0022723E">
      <w:pPr>
        <w:tabs>
          <w:tab w:val="left" w:pos="0"/>
          <w:tab w:val="left" w:pos="1560"/>
        </w:tabs>
        <w:autoSpaceDE w:val="0"/>
        <w:ind w:right="23"/>
        <w:jc w:val="both"/>
        <w:rPr>
          <w:rFonts w:ascii="Times New Roman" w:hAnsi="Times New Roman" w:cs="Times New Roman"/>
          <w:bCs/>
          <w:sz w:val="22"/>
          <w:szCs w:val="22"/>
        </w:rPr>
      </w:pPr>
    </w:p>
    <w:p w14:paraId="5EFFD658" w14:textId="60876F9E" w:rsidR="0022723E" w:rsidRPr="00C51D72" w:rsidRDefault="003C36C7">
      <w:pPr>
        <w:rPr>
          <w:rFonts w:ascii="Times New Roman" w:hAnsi="Times New Roman" w:cs="Times New Roman"/>
          <w:sz w:val="22"/>
          <w:szCs w:val="22"/>
        </w:rPr>
      </w:pPr>
      <w:r w:rsidRPr="00C51D72">
        <w:rPr>
          <w:rStyle w:val="whP1pod"/>
          <w:rFonts w:ascii="Times New Roman" w:hAnsi="Times New Roman" w:cs="Times New Roman"/>
          <w:sz w:val="22"/>
          <w:szCs w:val="22"/>
        </w:rPr>
        <w:t>Présents :</w:t>
      </w:r>
      <w:r w:rsidRPr="00C51D72">
        <w:rPr>
          <w:rFonts w:ascii="Times New Roman" w:hAnsi="Times New Roman" w:cs="Times New Roman"/>
          <w:sz w:val="22"/>
          <w:szCs w:val="22"/>
        </w:rPr>
        <w:br/>
        <w:t xml:space="preserve">Monsieur Luc LHOEST, Bourgmestre </w:t>
      </w:r>
      <w:r w:rsidR="00D527FE">
        <w:rPr>
          <w:rFonts w:ascii="Times New Roman" w:hAnsi="Times New Roman" w:cs="Times New Roman"/>
          <w:sz w:val="22"/>
          <w:szCs w:val="22"/>
        </w:rPr>
        <w:t>–</w:t>
      </w:r>
      <w:r w:rsidRPr="00C51D72">
        <w:rPr>
          <w:rFonts w:ascii="Times New Roman" w:hAnsi="Times New Roman" w:cs="Times New Roman"/>
          <w:sz w:val="22"/>
          <w:szCs w:val="22"/>
        </w:rPr>
        <w:t xml:space="preserve"> Président</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w:t>
      </w:r>
      <w:r w:rsidRPr="00C51D72">
        <w:rPr>
          <w:rFonts w:ascii="Times New Roman" w:hAnsi="Times New Roman" w:cs="Times New Roman"/>
          <w:sz w:val="22"/>
          <w:szCs w:val="22"/>
        </w:rPr>
        <w:br/>
        <w:t>Monsieur Nicolas ANDRIES, Madame Hélène PENDEVILLE, Monsieur Michel PIRON, Madame Isabelle COHEUR, Échevins</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w:t>
      </w:r>
      <w:r w:rsidRPr="00C51D72">
        <w:rPr>
          <w:rFonts w:ascii="Times New Roman" w:hAnsi="Times New Roman" w:cs="Times New Roman"/>
          <w:sz w:val="22"/>
          <w:szCs w:val="22"/>
        </w:rPr>
        <w:br/>
        <w:t>Monsieur René SEUTIN, Président du CPAS</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w:t>
      </w:r>
      <w:r w:rsidRPr="00C51D72">
        <w:rPr>
          <w:rFonts w:ascii="Times New Roman" w:hAnsi="Times New Roman" w:cs="Times New Roman"/>
          <w:sz w:val="22"/>
          <w:szCs w:val="22"/>
        </w:rPr>
        <w:br/>
        <w:t>Madame Emeline DELHALLE, Madame Aline DEPAS, Madame Véronique DE MARNEFFE, Monsieur Jean-Marie HEYNE, Madame Géraldine LEVOISIN, Monsieur Laurent MAQUOI, Monsieur Olivier ZELEZNIK, Madame Anne-Françoise ZIEGELS, Madame Kimberley GERKENS, Conseillers</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w:t>
      </w:r>
      <w:r w:rsidRPr="00C51D72">
        <w:rPr>
          <w:rFonts w:ascii="Times New Roman" w:hAnsi="Times New Roman" w:cs="Times New Roman"/>
          <w:sz w:val="22"/>
          <w:szCs w:val="22"/>
        </w:rPr>
        <w:br/>
        <w:t>Monsieur Michel CHARLIER, Directeur Général f.f.</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w:t>
      </w:r>
      <w:r w:rsidRPr="00C51D72">
        <w:rPr>
          <w:rFonts w:ascii="Times New Roman" w:hAnsi="Times New Roman" w:cs="Times New Roman"/>
          <w:sz w:val="22"/>
          <w:szCs w:val="22"/>
        </w:rPr>
        <w:br/>
      </w:r>
      <w:r w:rsidRPr="00C51D72">
        <w:rPr>
          <w:rStyle w:val="whP1pod"/>
          <w:rFonts w:ascii="Times New Roman" w:hAnsi="Times New Roman" w:cs="Times New Roman"/>
          <w:sz w:val="22"/>
          <w:szCs w:val="22"/>
        </w:rPr>
        <w:t>Excusés :</w:t>
      </w:r>
      <w:r w:rsidRPr="00C51D72">
        <w:rPr>
          <w:rFonts w:ascii="Times New Roman" w:hAnsi="Times New Roman" w:cs="Times New Roman"/>
          <w:sz w:val="22"/>
          <w:szCs w:val="22"/>
        </w:rPr>
        <w:br/>
        <w:t>Madame Gisèle DEPAS, Monsieur Rudy PIRARD, Conseillers</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w:t>
      </w:r>
    </w:p>
    <w:p w14:paraId="17CEE2A3" w14:textId="77777777" w:rsidR="0022723E" w:rsidRPr="00C51D72" w:rsidRDefault="0022723E">
      <w:pPr>
        <w:tabs>
          <w:tab w:val="left" w:pos="0"/>
          <w:tab w:val="left" w:pos="1560"/>
        </w:tabs>
        <w:autoSpaceDE w:val="0"/>
        <w:ind w:right="23"/>
        <w:jc w:val="both"/>
        <w:rPr>
          <w:rFonts w:ascii="Times New Roman" w:hAnsi="Times New Roman" w:cs="Times New Roman"/>
          <w:bCs/>
          <w:sz w:val="22"/>
          <w:szCs w:val="22"/>
        </w:rPr>
      </w:pPr>
    </w:p>
    <w:p w14:paraId="76D93392" w14:textId="77777777" w:rsidR="0022723E" w:rsidRPr="00C51D72" w:rsidRDefault="003C36C7">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C51D72">
        <w:rPr>
          <w:bCs/>
          <w:caps/>
          <w:color w:val="000000"/>
          <w:sz w:val="22"/>
          <w:szCs w:val="22"/>
        </w:rPr>
        <w:t>Séance publique</w:t>
      </w:r>
    </w:p>
    <w:p w14:paraId="50D9C5AA" w14:textId="77777777" w:rsidR="0022723E" w:rsidRPr="00C51D72" w:rsidRDefault="003C36C7">
      <w:pPr>
        <w:pStyle w:val="Titre2"/>
        <w:tabs>
          <w:tab w:val="left" w:pos="1020"/>
        </w:tabs>
        <w:spacing w:before="0" w:after="113"/>
        <w:ind w:left="510" w:hanging="510"/>
        <w:jc w:val="both"/>
        <w:rPr>
          <w:rFonts w:cs="Times New Roman"/>
          <w:szCs w:val="22"/>
        </w:rPr>
      </w:pPr>
      <w:bookmarkStart w:id="0" w:name="__RefHeading___Toc1768_3499349236"/>
      <w:bookmarkEnd w:id="0"/>
      <w:r w:rsidRPr="00C51D72">
        <w:rPr>
          <w:rFonts w:cs="Times New Roman"/>
          <w:color w:val="000000"/>
          <w:szCs w:val="22"/>
          <w:u w:val="none"/>
        </w:rPr>
        <w:t>1.</w:t>
      </w:r>
      <w:r w:rsidRPr="00C51D72">
        <w:rPr>
          <w:rFonts w:cs="Times New Roman"/>
          <w:color w:val="000000"/>
          <w:szCs w:val="22"/>
          <w:u w:val="none"/>
        </w:rPr>
        <w:tab/>
      </w:r>
      <w:r w:rsidRPr="00C51D72">
        <w:rPr>
          <w:rFonts w:cs="Times New Roman"/>
          <w:caps/>
          <w:color w:val="000000"/>
          <w:szCs w:val="22"/>
        </w:rPr>
        <w:t>APPROBATION DE LA SÉANCE PRÉCÉDENTE DU 25 SEPTEMBRE 2025.</w:t>
      </w:r>
    </w:p>
    <w:p w14:paraId="4D80EE0A"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41F3B423" w14:textId="006B3143" w:rsidR="0022723E" w:rsidRPr="00C51D72" w:rsidRDefault="003C36C7" w:rsidP="00D527FE">
      <w:pPr>
        <w:pStyle w:val="whP2pod"/>
        <w:rPr>
          <w:rFonts w:ascii="Times New Roman" w:hAnsi="Times New Roman" w:cs="Times New Roman"/>
          <w:color w:val="000000"/>
          <w:sz w:val="22"/>
          <w:szCs w:val="22"/>
        </w:rPr>
      </w:pPr>
      <w:r w:rsidRPr="00C51D72">
        <w:rPr>
          <w:rFonts w:ascii="Times New Roman" w:hAnsi="Times New Roman" w:cs="Times New Roman"/>
          <w:sz w:val="22"/>
          <w:szCs w:val="22"/>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25 septembre 2025.</w:t>
      </w:r>
    </w:p>
    <w:p w14:paraId="3D527F1A"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20E2E0DD" w14:textId="77777777" w:rsidR="0022723E" w:rsidRPr="00C51D72" w:rsidRDefault="003C36C7">
      <w:pPr>
        <w:pStyle w:val="Titre2"/>
        <w:tabs>
          <w:tab w:val="left" w:pos="1020"/>
        </w:tabs>
        <w:spacing w:before="0" w:after="113"/>
        <w:ind w:left="510" w:hanging="510"/>
        <w:jc w:val="both"/>
        <w:rPr>
          <w:rFonts w:cs="Times New Roman"/>
          <w:szCs w:val="22"/>
        </w:rPr>
      </w:pPr>
      <w:bookmarkStart w:id="1" w:name="__RefHeading___Toc1768_34993492361"/>
      <w:bookmarkEnd w:id="1"/>
      <w:r w:rsidRPr="00C51D72">
        <w:rPr>
          <w:rFonts w:cs="Times New Roman"/>
          <w:color w:val="000000"/>
          <w:szCs w:val="22"/>
          <w:u w:val="none"/>
        </w:rPr>
        <w:t>2.</w:t>
      </w:r>
      <w:r w:rsidRPr="00C51D72">
        <w:rPr>
          <w:rFonts w:cs="Times New Roman"/>
          <w:color w:val="000000"/>
          <w:szCs w:val="22"/>
          <w:u w:val="none"/>
        </w:rPr>
        <w:tab/>
      </w:r>
      <w:r w:rsidRPr="00C51D72">
        <w:rPr>
          <w:rFonts w:cs="Times New Roman"/>
          <w:caps/>
          <w:color w:val="000000"/>
          <w:szCs w:val="22"/>
        </w:rPr>
        <w:t>MODIFICATIONS BUDGÉTAIRES N°2 - EXERCICE 2025 - SERVICES ORDINAIRE ET EXTRAORDINAIRE.</w:t>
      </w:r>
    </w:p>
    <w:p w14:paraId="3AD93EA6"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AE5BB2C" w14:textId="2B4D7DA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et 162 ; </w:t>
      </w:r>
    </w:p>
    <w:p w14:paraId="649C175D" w14:textId="56D95C5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les articles L1122-23, L1122-26, L112230, et Première partie, livre III ; </w:t>
      </w:r>
    </w:p>
    <w:p w14:paraId="53B76EDB" w14:textId="6BB916B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l'arrêté du Gouvernement wallon du 5 juillet 2007 portant sur le règlement général de la comptabilité communale, en exécution de l'article L1315-1 du Code de la Démocratie locale et de la Décentralisation ; </w:t>
      </w:r>
    </w:p>
    <w:p w14:paraId="7AD4FD49" w14:textId="36A9522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projet de modifications budgétaires établi par le Collège communal ; </w:t>
      </w:r>
    </w:p>
    <w:p w14:paraId="713C9A05" w14:textId="18C2978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rapport favorable de la Commission visée à l'article 12 du Règlement général de la Comptabilité communale ; </w:t>
      </w:r>
    </w:p>
    <w:p w14:paraId="057FDF64" w14:textId="7C3C410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transmission du dossier au Directeur financier en date du 21 octobre 2025 ; </w:t>
      </w:r>
    </w:p>
    <w:p w14:paraId="2CEC5B9A" w14:textId="2E9796B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le Collège communal veillera au respect des formalités de publication prescrites par l'article L1313-1 du Code de la Démocratie locale et de la Décentralisation ; </w:t>
      </w:r>
    </w:p>
    <w:p w14:paraId="72378A15" w14:textId="087DB6F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le Collège communal veillera, en application de l'article L1122-23, §2, du Code de la Démocratie locale et de la Décentralisation, à la communication des présentes modifications budgétaires aux organisations syndicales représentatives, ainsi qu'à l’organisation, sur demande desdites organisations syndicales, d'une séance d'information présentant et expliquant les présentes modifications budgétaires ; </w:t>
      </w:r>
    </w:p>
    <w:p w14:paraId="7842536E" w14:textId="59E1A67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en séance publique, </w:t>
      </w:r>
    </w:p>
    <w:p w14:paraId="24634141" w14:textId="40BC9AB8"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Par 9 voix Pour et 6 voix Contre</w:t>
      </w:r>
      <w:r w:rsidRPr="00C51D72">
        <w:rPr>
          <w:rStyle w:val="whP3pod"/>
          <w:rFonts w:ascii="Times New Roman" w:hAnsi="Times New Roman" w:cs="Times New Roman"/>
          <w:sz w:val="22"/>
          <w:szCs w:val="22"/>
        </w:rPr>
        <w:t xml:space="preserve"> </w:t>
      </w:r>
      <w:r w:rsidRPr="00C51D72">
        <w:rPr>
          <w:rStyle w:val="whP4pod"/>
          <w:rFonts w:ascii="Times New Roman" w:hAnsi="Times New Roman" w:cs="Times New Roman"/>
          <w:sz w:val="22"/>
          <w:szCs w:val="22"/>
        </w:rPr>
        <w:t>(Mesdames Anne-Françoise HANNON-ZIEGELS, Emeline DELHALLE, Aline DEPAS, Géraldine LEVOISIN, Kimberley GERKENS et Monsieur Olivier ZELEZNIK, Conseillers communaux) ;</w:t>
      </w:r>
      <w:r w:rsidRPr="00C51D72">
        <w:rPr>
          <w:rFonts w:ascii="Times New Roman" w:hAnsi="Times New Roman" w:cs="Times New Roman"/>
          <w:sz w:val="22"/>
          <w:szCs w:val="22"/>
        </w:rPr>
        <w:t> </w:t>
      </w:r>
    </w:p>
    <w:p w14:paraId="1F35F68A" w14:textId="1E885D1D"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DÉCIDE</w:t>
      </w:r>
      <w:r w:rsidRPr="00D527FE">
        <w:rPr>
          <w:rFonts w:ascii="Times New Roman" w:hAnsi="Times New Roman" w:cs="Times New Roman"/>
          <w:b/>
          <w:bCs/>
          <w:sz w:val="22"/>
          <w:szCs w:val="22"/>
        </w:rPr>
        <w:t> </w:t>
      </w:r>
    </w:p>
    <w:p w14:paraId="743FC2FA" w14:textId="77777777" w:rsidR="0022723E" w:rsidRPr="00D527FE" w:rsidRDefault="003C36C7">
      <w:pPr>
        <w:pStyle w:val="whP2pod"/>
        <w:rPr>
          <w:rFonts w:ascii="Times New Roman" w:hAnsi="Times New Roman" w:cs="Times New Roman"/>
          <w:b/>
          <w:bCs/>
          <w:sz w:val="22"/>
          <w:szCs w:val="22"/>
        </w:rPr>
      </w:pPr>
      <w:r w:rsidRPr="00D527FE">
        <w:rPr>
          <w:rStyle w:val="whP5pod"/>
          <w:rFonts w:ascii="Times New Roman" w:hAnsi="Times New Roman" w:cs="Times New Roman"/>
          <w:b w:val="0"/>
          <w:bCs/>
          <w:sz w:val="22"/>
          <w:szCs w:val="22"/>
        </w:rPr>
        <w:t>Article 1er</w:t>
      </w:r>
    </w:p>
    <w:p w14:paraId="101CC784" w14:textId="7068D3F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D'arrêter, comme suit, les modifications budgétaires n°2 de l'exercice 2025 : </w:t>
      </w:r>
    </w:p>
    <w:p w14:paraId="3B1ED2A5"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1. Tableau récapitulatif</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696"/>
        <w:gridCol w:w="2468"/>
        <w:gridCol w:w="3036"/>
      </w:tblGrid>
      <w:tr w:rsidR="0022723E" w:rsidRPr="00C51D72" w14:paraId="5373B1A6"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2883C68E"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tc>
        <w:tc>
          <w:tcPr>
            <w:tcW w:w="2469" w:type="dxa"/>
            <w:tcBorders>
              <w:top w:val="single" w:sz="2" w:space="0" w:color="000000"/>
              <w:left w:val="single" w:sz="2" w:space="0" w:color="000000"/>
              <w:bottom w:val="single" w:sz="2" w:space="0" w:color="000000"/>
              <w:right w:val="single" w:sz="2" w:space="0" w:color="000000"/>
            </w:tcBorders>
            <w:vAlign w:val="center"/>
          </w:tcPr>
          <w:p w14:paraId="6264FB6B"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Service ordinaire</w:t>
            </w:r>
          </w:p>
        </w:tc>
        <w:tc>
          <w:tcPr>
            <w:tcW w:w="3038" w:type="dxa"/>
            <w:tcBorders>
              <w:top w:val="single" w:sz="2" w:space="0" w:color="000000"/>
              <w:left w:val="single" w:sz="2" w:space="0" w:color="000000"/>
              <w:bottom w:val="single" w:sz="2" w:space="0" w:color="000000"/>
              <w:right w:val="single" w:sz="2" w:space="0" w:color="000000"/>
            </w:tcBorders>
            <w:vAlign w:val="center"/>
          </w:tcPr>
          <w:p w14:paraId="570E1CCC"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Service extraordinaire</w:t>
            </w:r>
          </w:p>
        </w:tc>
      </w:tr>
      <w:tr w:rsidR="0022723E" w:rsidRPr="00C51D72" w14:paraId="7E23B9E0"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18730A98"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Recettes totales  exercice </w:t>
            </w:r>
          </w:p>
          <w:p w14:paraId="106A222B"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proprement dit</w:t>
            </w:r>
          </w:p>
        </w:tc>
        <w:tc>
          <w:tcPr>
            <w:tcW w:w="2469" w:type="dxa"/>
            <w:tcBorders>
              <w:top w:val="single" w:sz="2" w:space="0" w:color="000000"/>
              <w:left w:val="single" w:sz="2" w:space="0" w:color="000000"/>
              <w:bottom w:val="single" w:sz="2" w:space="0" w:color="000000"/>
              <w:right w:val="single" w:sz="2" w:space="0" w:color="000000"/>
            </w:tcBorders>
            <w:vAlign w:val="center"/>
          </w:tcPr>
          <w:p w14:paraId="52AD80E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8.230.559,51</w:t>
            </w:r>
          </w:p>
        </w:tc>
        <w:tc>
          <w:tcPr>
            <w:tcW w:w="3038" w:type="dxa"/>
            <w:tcBorders>
              <w:top w:val="single" w:sz="2" w:space="0" w:color="000000"/>
              <w:left w:val="single" w:sz="2" w:space="0" w:color="000000"/>
              <w:bottom w:val="single" w:sz="2" w:space="0" w:color="000000"/>
              <w:right w:val="single" w:sz="2" w:space="0" w:color="000000"/>
            </w:tcBorders>
            <w:vAlign w:val="center"/>
          </w:tcPr>
          <w:p w14:paraId="6536B0A6"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3.201.106,52</w:t>
            </w:r>
          </w:p>
        </w:tc>
      </w:tr>
      <w:tr w:rsidR="0022723E" w:rsidRPr="00C51D72" w14:paraId="435C879C"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3B9EC3F5"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Dépenses totales exercice</w:t>
            </w:r>
          </w:p>
          <w:p w14:paraId="54D051F7"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proprement dit</w:t>
            </w:r>
          </w:p>
        </w:tc>
        <w:tc>
          <w:tcPr>
            <w:tcW w:w="2469" w:type="dxa"/>
            <w:tcBorders>
              <w:top w:val="single" w:sz="2" w:space="0" w:color="000000"/>
              <w:left w:val="single" w:sz="2" w:space="0" w:color="000000"/>
              <w:bottom w:val="single" w:sz="2" w:space="0" w:color="000000"/>
              <w:right w:val="single" w:sz="2" w:space="0" w:color="000000"/>
            </w:tcBorders>
            <w:vAlign w:val="center"/>
          </w:tcPr>
          <w:p w14:paraId="56E540E7"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8.191.530,12</w:t>
            </w:r>
          </w:p>
        </w:tc>
        <w:tc>
          <w:tcPr>
            <w:tcW w:w="3038" w:type="dxa"/>
            <w:tcBorders>
              <w:top w:val="single" w:sz="2" w:space="0" w:color="000000"/>
              <w:left w:val="single" w:sz="2" w:space="0" w:color="000000"/>
              <w:bottom w:val="single" w:sz="2" w:space="0" w:color="000000"/>
              <w:right w:val="single" w:sz="2" w:space="0" w:color="000000"/>
            </w:tcBorders>
            <w:vAlign w:val="center"/>
          </w:tcPr>
          <w:p w14:paraId="33F7C56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4.084.216,57</w:t>
            </w:r>
          </w:p>
        </w:tc>
      </w:tr>
      <w:tr w:rsidR="0022723E" w:rsidRPr="00C51D72" w14:paraId="14DC364E"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4FCB564B"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Boni / Mali       exercice</w:t>
            </w:r>
          </w:p>
          <w:p w14:paraId="46BA674B"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proprement dit</w:t>
            </w:r>
          </w:p>
        </w:tc>
        <w:tc>
          <w:tcPr>
            <w:tcW w:w="2469" w:type="dxa"/>
            <w:tcBorders>
              <w:top w:val="single" w:sz="2" w:space="0" w:color="000000"/>
              <w:left w:val="single" w:sz="2" w:space="0" w:color="000000"/>
              <w:bottom w:val="single" w:sz="2" w:space="0" w:color="000000"/>
              <w:right w:val="single" w:sz="2" w:space="0" w:color="000000"/>
            </w:tcBorders>
            <w:vAlign w:val="center"/>
          </w:tcPr>
          <w:p w14:paraId="78197F3C"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39.029,39</w:t>
            </w:r>
          </w:p>
        </w:tc>
        <w:tc>
          <w:tcPr>
            <w:tcW w:w="3038" w:type="dxa"/>
            <w:tcBorders>
              <w:top w:val="single" w:sz="2" w:space="0" w:color="000000"/>
              <w:left w:val="single" w:sz="2" w:space="0" w:color="000000"/>
              <w:bottom w:val="single" w:sz="2" w:space="0" w:color="000000"/>
              <w:right w:val="single" w:sz="2" w:space="0" w:color="000000"/>
            </w:tcBorders>
            <w:vAlign w:val="center"/>
          </w:tcPr>
          <w:p w14:paraId="05331C9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-883.110,05</w:t>
            </w:r>
          </w:p>
        </w:tc>
      </w:tr>
      <w:tr w:rsidR="0022723E" w:rsidRPr="00C51D72" w14:paraId="785C1686"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5F1C0E53"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Recettes exercices antérieurs</w:t>
            </w:r>
          </w:p>
        </w:tc>
        <w:tc>
          <w:tcPr>
            <w:tcW w:w="2469" w:type="dxa"/>
            <w:tcBorders>
              <w:top w:val="single" w:sz="2" w:space="0" w:color="000000"/>
              <w:left w:val="single" w:sz="2" w:space="0" w:color="000000"/>
              <w:bottom w:val="single" w:sz="2" w:space="0" w:color="000000"/>
              <w:right w:val="single" w:sz="2" w:space="0" w:color="000000"/>
            </w:tcBorders>
            <w:vAlign w:val="center"/>
          </w:tcPr>
          <w:p w14:paraId="525E64A3"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2.713.299,11</w:t>
            </w:r>
          </w:p>
        </w:tc>
        <w:tc>
          <w:tcPr>
            <w:tcW w:w="3038" w:type="dxa"/>
            <w:tcBorders>
              <w:top w:val="single" w:sz="2" w:space="0" w:color="000000"/>
              <w:left w:val="single" w:sz="2" w:space="0" w:color="000000"/>
              <w:bottom w:val="single" w:sz="2" w:space="0" w:color="000000"/>
              <w:right w:val="single" w:sz="2" w:space="0" w:color="000000"/>
            </w:tcBorders>
            <w:vAlign w:val="center"/>
          </w:tcPr>
          <w:p w14:paraId="0A479CEE"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213.825,93</w:t>
            </w:r>
          </w:p>
        </w:tc>
      </w:tr>
      <w:tr w:rsidR="0022723E" w:rsidRPr="00C51D72" w14:paraId="57950547"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7FD8F821"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lastRenderedPageBreak/>
              <w:t>Dépenses exercices antérieurs</w:t>
            </w:r>
          </w:p>
        </w:tc>
        <w:tc>
          <w:tcPr>
            <w:tcW w:w="2469" w:type="dxa"/>
            <w:tcBorders>
              <w:top w:val="single" w:sz="2" w:space="0" w:color="000000"/>
              <w:left w:val="single" w:sz="2" w:space="0" w:color="000000"/>
              <w:bottom w:val="single" w:sz="2" w:space="0" w:color="000000"/>
              <w:right w:val="single" w:sz="2" w:space="0" w:color="000000"/>
            </w:tcBorders>
            <w:vAlign w:val="center"/>
          </w:tcPr>
          <w:p w14:paraId="41B40818"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97.854,32</w:t>
            </w:r>
          </w:p>
        </w:tc>
        <w:tc>
          <w:tcPr>
            <w:tcW w:w="3038" w:type="dxa"/>
            <w:tcBorders>
              <w:top w:val="single" w:sz="2" w:space="0" w:color="000000"/>
              <w:left w:val="single" w:sz="2" w:space="0" w:color="000000"/>
              <w:bottom w:val="single" w:sz="2" w:space="0" w:color="000000"/>
              <w:right w:val="single" w:sz="2" w:space="0" w:color="000000"/>
            </w:tcBorders>
            <w:vAlign w:val="center"/>
          </w:tcPr>
          <w:p w14:paraId="32A74F2B"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287.830,30</w:t>
            </w:r>
          </w:p>
        </w:tc>
      </w:tr>
      <w:tr w:rsidR="0022723E" w:rsidRPr="00C51D72" w14:paraId="084615B1"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0AF85AC6"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Prélèvements en recettes</w:t>
            </w:r>
          </w:p>
        </w:tc>
        <w:tc>
          <w:tcPr>
            <w:tcW w:w="2469" w:type="dxa"/>
            <w:tcBorders>
              <w:top w:val="single" w:sz="2" w:space="0" w:color="000000"/>
              <w:left w:val="single" w:sz="2" w:space="0" w:color="000000"/>
              <w:bottom w:val="single" w:sz="2" w:space="0" w:color="000000"/>
              <w:right w:val="single" w:sz="2" w:space="0" w:color="000000"/>
            </w:tcBorders>
            <w:vAlign w:val="center"/>
          </w:tcPr>
          <w:p w14:paraId="74BF1992"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0,00</w:t>
            </w:r>
          </w:p>
        </w:tc>
        <w:tc>
          <w:tcPr>
            <w:tcW w:w="3038" w:type="dxa"/>
            <w:tcBorders>
              <w:top w:val="single" w:sz="2" w:space="0" w:color="000000"/>
              <w:left w:val="single" w:sz="2" w:space="0" w:color="000000"/>
              <w:bottom w:val="single" w:sz="2" w:space="0" w:color="000000"/>
              <w:right w:val="single" w:sz="2" w:space="0" w:color="000000"/>
            </w:tcBorders>
            <w:vAlign w:val="center"/>
          </w:tcPr>
          <w:p w14:paraId="6244E65B"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1.201.054,85</w:t>
            </w:r>
          </w:p>
        </w:tc>
      </w:tr>
      <w:tr w:rsidR="0022723E" w:rsidRPr="00C51D72" w14:paraId="2A1EE39C"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03BAD89C"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Prélèvements en dépenses</w:t>
            </w:r>
          </w:p>
        </w:tc>
        <w:tc>
          <w:tcPr>
            <w:tcW w:w="2469" w:type="dxa"/>
            <w:tcBorders>
              <w:top w:val="single" w:sz="2" w:space="0" w:color="000000"/>
              <w:left w:val="single" w:sz="2" w:space="0" w:color="000000"/>
              <w:bottom w:val="single" w:sz="2" w:space="0" w:color="000000"/>
              <w:right w:val="single" w:sz="2" w:space="0" w:color="000000"/>
            </w:tcBorders>
            <w:vAlign w:val="center"/>
          </w:tcPr>
          <w:p w14:paraId="321479B7"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957.114,42</w:t>
            </w:r>
          </w:p>
        </w:tc>
        <w:tc>
          <w:tcPr>
            <w:tcW w:w="3038" w:type="dxa"/>
            <w:tcBorders>
              <w:top w:val="single" w:sz="2" w:space="0" w:color="000000"/>
              <w:left w:val="single" w:sz="2" w:space="0" w:color="000000"/>
              <w:bottom w:val="single" w:sz="2" w:space="0" w:color="000000"/>
              <w:right w:val="single" w:sz="2" w:space="0" w:color="000000"/>
            </w:tcBorders>
            <w:vAlign w:val="center"/>
          </w:tcPr>
          <w:p w14:paraId="568E3F4A"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243.940,43</w:t>
            </w:r>
          </w:p>
        </w:tc>
      </w:tr>
      <w:tr w:rsidR="0022723E" w:rsidRPr="00C51D72" w14:paraId="1383D1D5"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7E0E9675"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Recettes globales</w:t>
            </w:r>
          </w:p>
        </w:tc>
        <w:tc>
          <w:tcPr>
            <w:tcW w:w="2469" w:type="dxa"/>
            <w:tcBorders>
              <w:top w:val="single" w:sz="2" w:space="0" w:color="000000"/>
              <w:left w:val="single" w:sz="2" w:space="0" w:color="000000"/>
              <w:bottom w:val="single" w:sz="2" w:space="0" w:color="000000"/>
              <w:right w:val="single" w:sz="2" w:space="0" w:color="000000"/>
            </w:tcBorders>
            <w:vAlign w:val="center"/>
          </w:tcPr>
          <w:p w14:paraId="10AF0EF4"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10.943.858,62</w:t>
            </w:r>
          </w:p>
        </w:tc>
        <w:tc>
          <w:tcPr>
            <w:tcW w:w="3038" w:type="dxa"/>
            <w:tcBorders>
              <w:top w:val="single" w:sz="2" w:space="0" w:color="000000"/>
              <w:left w:val="single" w:sz="2" w:space="0" w:color="000000"/>
              <w:bottom w:val="single" w:sz="2" w:space="0" w:color="000000"/>
              <w:right w:val="single" w:sz="2" w:space="0" w:color="000000"/>
            </w:tcBorders>
            <w:vAlign w:val="center"/>
          </w:tcPr>
          <w:p w14:paraId="26DD5147"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4.615.987,30</w:t>
            </w:r>
          </w:p>
        </w:tc>
      </w:tr>
      <w:tr w:rsidR="0022723E" w:rsidRPr="00C51D72" w14:paraId="65B793D1"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4315A555"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Dépenses globales</w:t>
            </w:r>
          </w:p>
        </w:tc>
        <w:tc>
          <w:tcPr>
            <w:tcW w:w="2469" w:type="dxa"/>
            <w:tcBorders>
              <w:top w:val="single" w:sz="2" w:space="0" w:color="000000"/>
              <w:left w:val="single" w:sz="2" w:space="0" w:color="000000"/>
              <w:bottom w:val="single" w:sz="2" w:space="0" w:color="000000"/>
              <w:right w:val="single" w:sz="2" w:space="0" w:color="000000"/>
            </w:tcBorders>
            <w:vAlign w:val="center"/>
          </w:tcPr>
          <w:p w14:paraId="30747643"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9.246.498,86</w:t>
            </w:r>
          </w:p>
        </w:tc>
        <w:tc>
          <w:tcPr>
            <w:tcW w:w="3038" w:type="dxa"/>
            <w:tcBorders>
              <w:top w:val="single" w:sz="2" w:space="0" w:color="000000"/>
              <w:left w:val="single" w:sz="2" w:space="0" w:color="000000"/>
              <w:bottom w:val="single" w:sz="2" w:space="0" w:color="000000"/>
              <w:right w:val="single" w:sz="2" w:space="0" w:color="000000"/>
            </w:tcBorders>
            <w:vAlign w:val="center"/>
          </w:tcPr>
          <w:p w14:paraId="7EE9ADA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4.615.987,30</w:t>
            </w:r>
          </w:p>
        </w:tc>
      </w:tr>
      <w:tr w:rsidR="0022723E" w:rsidRPr="00C51D72" w14:paraId="322EE53A"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4EAEA2F3"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Boni / Mali  global</w:t>
            </w:r>
          </w:p>
        </w:tc>
        <w:tc>
          <w:tcPr>
            <w:tcW w:w="2469" w:type="dxa"/>
            <w:tcBorders>
              <w:top w:val="single" w:sz="2" w:space="0" w:color="000000"/>
              <w:left w:val="single" w:sz="2" w:space="0" w:color="000000"/>
              <w:bottom w:val="single" w:sz="2" w:space="0" w:color="000000"/>
              <w:right w:val="single" w:sz="2" w:space="0" w:color="000000"/>
            </w:tcBorders>
            <w:vAlign w:val="center"/>
          </w:tcPr>
          <w:p w14:paraId="1CAE1EF1"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1.697.359,76</w:t>
            </w:r>
          </w:p>
        </w:tc>
        <w:tc>
          <w:tcPr>
            <w:tcW w:w="3038" w:type="dxa"/>
            <w:tcBorders>
              <w:top w:val="single" w:sz="2" w:space="0" w:color="000000"/>
              <w:left w:val="single" w:sz="2" w:space="0" w:color="000000"/>
              <w:bottom w:val="single" w:sz="2" w:space="0" w:color="000000"/>
              <w:right w:val="single" w:sz="2" w:space="0" w:color="000000"/>
            </w:tcBorders>
            <w:vAlign w:val="center"/>
          </w:tcPr>
          <w:p w14:paraId="5EE5D52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0,00</w:t>
            </w:r>
          </w:p>
        </w:tc>
      </w:tr>
    </w:tbl>
    <w:p w14:paraId="04423841" w14:textId="77777777" w:rsidR="0022723E" w:rsidRPr="00D527FE" w:rsidRDefault="003C36C7">
      <w:pPr>
        <w:pStyle w:val="whP2pod"/>
        <w:rPr>
          <w:rFonts w:ascii="Times New Roman" w:hAnsi="Times New Roman" w:cs="Times New Roman"/>
          <w:b/>
          <w:bCs/>
          <w:sz w:val="22"/>
          <w:szCs w:val="22"/>
        </w:rPr>
      </w:pPr>
      <w:r w:rsidRPr="00D527FE">
        <w:rPr>
          <w:rStyle w:val="whP5pod"/>
          <w:rFonts w:ascii="Times New Roman" w:hAnsi="Times New Roman" w:cs="Times New Roman"/>
          <w:b w:val="0"/>
          <w:bCs/>
          <w:sz w:val="22"/>
          <w:szCs w:val="22"/>
        </w:rPr>
        <w:t>Article 2</w:t>
      </w:r>
    </w:p>
    <w:p w14:paraId="06305606" w14:textId="75F059D1" w:rsidR="0022723E" w:rsidRPr="00C51D72" w:rsidRDefault="003C36C7" w:rsidP="00D527FE">
      <w:pPr>
        <w:pStyle w:val="whP2pod"/>
        <w:rPr>
          <w:rFonts w:ascii="Times New Roman" w:hAnsi="Times New Roman" w:cs="Times New Roman"/>
          <w:color w:val="000000"/>
          <w:sz w:val="22"/>
          <w:szCs w:val="22"/>
        </w:rPr>
      </w:pPr>
      <w:r w:rsidRPr="00C51D72">
        <w:rPr>
          <w:rFonts w:ascii="Times New Roman" w:hAnsi="Times New Roman" w:cs="Times New Roman"/>
          <w:sz w:val="22"/>
          <w:szCs w:val="22"/>
        </w:rPr>
        <w:t>De transmettre la présente délibération aux autorités de la tutelle, au service des Finances et au Directeur financier.</w:t>
      </w:r>
    </w:p>
    <w:p w14:paraId="0760E512"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2B40A28E" w14:textId="77777777" w:rsidR="0022723E" w:rsidRPr="00C51D72" w:rsidRDefault="003C36C7">
      <w:pPr>
        <w:pStyle w:val="Titre2"/>
        <w:tabs>
          <w:tab w:val="left" w:pos="1020"/>
        </w:tabs>
        <w:spacing w:before="0" w:after="113"/>
        <w:ind w:left="510" w:hanging="510"/>
        <w:jc w:val="both"/>
        <w:rPr>
          <w:rFonts w:cs="Times New Roman"/>
          <w:szCs w:val="22"/>
        </w:rPr>
      </w:pPr>
      <w:bookmarkStart w:id="2" w:name="__RefHeading___Toc1768_34993492362"/>
      <w:bookmarkEnd w:id="2"/>
      <w:r w:rsidRPr="00C51D72">
        <w:rPr>
          <w:rFonts w:cs="Times New Roman"/>
          <w:color w:val="000000"/>
          <w:szCs w:val="22"/>
          <w:u w:val="none"/>
        </w:rPr>
        <w:t>3.</w:t>
      </w:r>
      <w:r w:rsidRPr="00C51D72">
        <w:rPr>
          <w:rFonts w:cs="Times New Roman"/>
          <w:color w:val="000000"/>
          <w:szCs w:val="22"/>
          <w:u w:val="none"/>
        </w:rPr>
        <w:tab/>
      </w:r>
      <w:r w:rsidRPr="00C51D72">
        <w:rPr>
          <w:rFonts w:cs="Times New Roman"/>
          <w:caps/>
          <w:color w:val="000000"/>
          <w:szCs w:val="22"/>
        </w:rPr>
        <w:t>C.P.A.S. - MODIFICATION BUDGÉTAIRE N°1 (SERVICES ORDINAIRE ET EXTRAORDINAIRE) - EXERCICE 2025.</w:t>
      </w:r>
    </w:p>
    <w:p w14:paraId="69A8F235"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489F8DE7" w14:textId="20B2AF8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CDLD en ses articles afférents à la tutelle communale sur les CPAS, </w:t>
      </w:r>
    </w:p>
    <w:p w14:paraId="0D4AF34E" w14:textId="0204604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loi organique du 08 juillet 1976, tel que modifiée, notamment l'article 112 bis, </w:t>
      </w:r>
    </w:p>
    <w:p w14:paraId="2244D2E5" w14:textId="7CED566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rapport de Monsieur le Président du C.P.A.S., lequel expose le contenu des modifications apportées au budget ordinaire et extraordinaire du C.P.A.S. (Exercice 2025) et arrêtée par celui-ci en séance du 18 septembre 2025 ; </w:t>
      </w:r>
    </w:p>
    <w:p w14:paraId="5CB772D7" w14:textId="3818C7D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77A71DC9" w14:textId="29B7A82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5499B43B" w14:textId="05BB7FBF"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 ;</w:t>
      </w:r>
      <w:r w:rsidRPr="00D527FE">
        <w:rPr>
          <w:rFonts w:ascii="Times New Roman" w:hAnsi="Times New Roman" w:cs="Times New Roman"/>
          <w:b/>
          <w:bCs/>
          <w:sz w:val="22"/>
          <w:szCs w:val="22"/>
        </w:rPr>
        <w:t> </w:t>
      </w:r>
    </w:p>
    <w:p w14:paraId="5E663DDD" w14:textId="4A1FA7E7"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APPROUVE</w:t>
      </w:r>
      <w:r w:rsidRPr="00C51D72">
        <w:rPr>
          <w:rFonts w:ascii="Times New Roman" w:hAnsi="Times New Roman" w:cs="Times New Roman"/>
          <w:sz w:val="22"/>
          <w:szCs w:val="22"/>
        </w:rPr>
        <w:t xml:space="preserve"> la modification budgétaire </w:t>
      </w:r>
      <w:r w:rsidRPr="00C51D72">
        <w:rPr>
          <w:rStyle w:val="whP6pod"/>
          <w:rFonts w:ascii="Times New Roman" w:hAnsi="Times New Roman" w:cs="Times New Roman"/>
          <w:sz w:val="22"/>
          <w:szCs w:val="22"/>
        </w:rPr>
        <w:t>ordinaire</w:t>
      </w:r>
      <w:r w:rsidRPr="00C51D72">
        <w:rPr>
          <w:rFonts w:ascii="Times New Roman" w:hAnsi="Times New Roman" w:cs="Times New Roman"/>
          <w:sz w:val="22"/>
          <w:szCs w:val="22"/>
        </w:rPr>
        <w:t xml:space="preserve"> du C.P.A.S. qui se clôture comme suit</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550"/>
        <w:gridCol w:w="2550"/>
        <w:gridCol w:w="2550"/>
        <w:gridCol w:w="2550"/>
      </w:tblGrid>
      <w:tr w:rsidR="0022723E" w:rsidRPr="00C51D72" w14:paraId="7BEDD1DB" w14:textId="77777777">
        <w:trPr>
          <w:tblHeader/>
        </w:trPr>
        <w:tc>
          <w:tcPr>
            <w:tcW w:w="2551" w:type="dxa"/>
            <w:tcBorders>
              <w:top w:val="single" w:sz="2" w:space="0" w:color="000000"/>
              <w:left w:val="single" w:sz="2" w:space="0" w:color="000000"/>
              <w:bottom w:val="single" w:sz="2" w:space="0" w:color="000000"/>
              <w:right w:val="single" w:sz="2" w:space="0" w:color="000000"/>
            </w:tcBorders>
            <w:vAlign w:val="center"/>
          </w:tcPr>
          <w:p w14:paraId="1360416C"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Service ordinaire</w:t>
            </w:r>
          </w:p>
        </w:tc>
        <w:tc>
          <w:tcPr>
            <w:tcW w:w="2552" w:type="dxa"/>
            <w:tcBorders>
              <w:top w:val="single" w:sz="2" w:space="0" w:color="000000"/>
              <w:left w:val="single" w:sz="2" w:space="0" w:color="000000"/>
              <w:bottom w:val="single" w:sz="2" w:space="0" w:color="000000"/>
              <w:right w:val="single" w:sz="2" w:space="0" w:color="000000"/>
            </w:tcBorders>
            <w:vAlign w:val="center"/>
          </w:tcPr>
          <w:p w14:paraId="6EBA828E"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Recettes</w:t>
            </w:r>
          </w:p>
        </w:tc>
        <w:tc>
          <w:tcPr>
            <w:tcW w:w="2551" w:type="dxa"/>
            <w:tcBorders>
              <w:top w:val="single" w:sz="2" w:space="0" w:color="000000"/>
              <w:left w:val="single" w:sz="2" w:space="0" w:color="000000"/>
              <w:bottom w:val="single" w:sz="2" w:space="0" w:color="000000"/>
              <w:right w:val="single" w:sz="2" w:space="0" w:color="000000"/>
            </w:tcBorders>
            <w:vAlign w:val="center"/>
          </w:tcPr>
          <w:p w14:paraId="042F75E1"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Dépenses</w:t>
            </w:r>
          </w:p>
        </w:tc>
        <w:tc>
          <w:tcPr>
            <w:tcW w:w="2552" w:type="dxa"/>
            <w:tcBorders>
              <w:top w:val="single" w:sz="2" w:space="0" w:color="000000"/>
              <w:left w:val="single" w:sz="2" w:space="0" w:color="000000"/>
              <w:bottom w:val="single" w:sz="2" w:space="0" w:color="000000"/>
              <w:right w:val="single" w:sz="2" w:space="0" w:color="000000"/>
            </w:tcBorders>
            <w:vAlign w:val="center"/>
          </w:tcPr>
          <w:p w14:paraId="2BC9E89E"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Solde</w:t>
            </w:r>
          </w:p>
        </w:tc>
      </w:tr>
      <w:tr w:rsidR="0022723E" w:rsidRPr="00C51D72" w14:paraId="6CB97C4B" w14:textId="77777777">
        <w:tc>
          <w:tcPr>
            <w:tcW w:w="2551" w:type="dxa"/>
            <w:tcBorders>
              <w:top w:val="single" w:sz="2" w:space="0" w:color="000000"/>
              <w:left w:val="single" w:sz="2" w:space="0" w:color="000000"/>
              <w:bottom w:val="single" w:sz="2" w:space="0" w:color="000000"/>
              <w:right w:val="single" w:sz="2" w:space="0" w:color="000000"/>
            </w:tcBorders>
            <w:vAlign w:val="center"/>
          </w:tcPr>
          <w:p w14:paraId="6D98C44E"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Budget initial</w:t>
            </w:r>
          </w:p>
        </w:tc>
        <w:tc>
          <w:tcPr>
            <w:tcW w:w="2552" w:type="dxa"/>
            <w:tcBorders>
              <w:top w:val="single" w:sz="2" w:space="0" w:color="000000"/>
              <w:left w:val="single" w:sz="2" w:space="0" w:color="000000"/>
              <w:bottom w:val="single" w:sz="2" w:space="0" w:color="000000"/>
              <w:right w:val="single" w:sz="2" w:space="0" w:color="000000"/>
            </w:tcBorders>
            <w:vAlign w:val="center"/>
          </w:tcPr>
          <w:p w14:paraId="18AFC70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1.468.028,03</w:t>
            </w:r>
          </w:p>
        </w:tc>
        <w:tc>
          <w:tcPr>
            <w:tcW w:w="2551" w:type="dxa"/>
            <w:tcBorders>
              <w:top w:val="single" w:sz="2" w:space="0" w:color="000000"/>
              <w:left w:val="single" w:sz="2" w:space="0" w:color="000000"/>
              <w:bottom w:val="single" w:sz="2" w:space="0" w:color="000000"/>
              <w:right w:val="single" w:sz="2" w:space="0" w:color="000000"/>
            </w:tcBorders>
            <w:vAlign w:val="center"/>
          </w:tcPr>
          <w:p w14:paraId="2A72C6D6"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1.468.028,03</w:t>
            </w:r>
          </w:p>
        </w:tc>
        <w:tc>
          <w:tcPr>
            <w:tcW w:w="2552" w:type="dxa"/>
            <w:tcBorders>
              <w:top w:val="single" w:sz="2" w:space="0" w:color="000000"/>
              <w:left w:val="single" w:sz="2" w:space="0" w:color="000000"/>
              <w:bottom w:val="single" w:sz="2" w:space="0" w:color="000000"/>
              <w:right w:val="single" w:sz="2" w:space="0" w:color="000000"/>
            </w:tcBorders>
            <w:vAlign w:val="center"/>
          </w:tcPr>
          <w:p w14:paraId="1042C62E"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r>
      <w:tr w:rsidR="0022723E" w:rsidRPr="00C51D72" w14:paraId="5A269032" w14:textId="77777777">
        <w:tc>
          <w:tcPr>
            <w:tcW w:w="2551" w:type="dxa"/>
            <w:tcBorders>
              <w:top w:val="single" w:sz="2" w:space="0" w:color="000000"/>
              <w:left w:val="single" w:sz="2" w:space="0" w:color="000000"/>
              <w:bottom w:val="single" w:sz="2" w:space="0" w:color="000000"/>
              <w:right w:val="single" w:sz="2" w:space="0" w:color="000000"/>
            </w:tcBorders>
            <w:vAlign w:val="center"/>
          </w:tcPr>
          <w:p w14:paraId="22E2422F"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Augmentation</w:t>
            </w:r>
          </w:p>
        </w:tc>
        <w:tc>
          <w:tcPr>
            <w:tcW w:w="2552" w:type="dxa"/>
            <w:tcBorders>
              <w:top w:val="single" w:sz="2" w:space="0" w:color="000000"/>
              <w:left w:val="single" w:sz="2" w:space="0" w:color="000000"/>
              <w:bottom w:val="single" w:sz="2" w:space="0" w:color="000000"/>
              <w:right w:val="single" w:sz="2" w:space="0" w:color="000000"/>
            </w:tcBorders>
            <w:vAlign w:val="center"/>
          </w:tcPr>
          <w:p w14:paraId="5D11BF24"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205.445,32</w:t>
            </w:r>
          </w:p>
        </w:tc>
        <w:tc>
          <w:tcPr>
            <w:tcW w:w="2551" w:type="dxa"/>
            <w:tcBorders>
              <w:top w:val="single" w:sz="2" w:space="0" w:color="000000"/>
              <w:left w:val="single" w:sz="2" w:space="0" w:color="000000"/>
              <w:bottom w:val="single" w:sz="2" w:space="0" w:color="000000"/>
              <w:right w:val="single" w:sz="2" w:space="0" w:color="000000"/>
            </w:tcBorders>
            <w:vAlign w:val="center"/>
          </w:tcPr>
          <w:p w14:paraId="0CDEBF84"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192.659,97</w:t>
            </w:r>
          </w:p>
        </w:tc>
        <w:tc>
          <w:tcPr>
            <w:tcW w:w="2552" w:type="dxa"/>
            <w:tcBorders>
              <w:top w:val="single" w:sz="2" w:space="0" w:color="000000"/>
              <w:left w:val="single" w:sz="2" w:space="0" w:color="000000"/>
              <w:bottom w:val="single" w:sz="2" w:space="0" w:color="000000"/>
              <w:right w:val="single" w:sz="2" w:space="0" w:color="000000"/>
            </w:tcBorders>
            <w:vAlign w:val="center"/>
          </w:tcPr>
          <w:p w14:paraId="5865F2F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12.785,35</w:t>
            </w:r>
          </w:p>
        </w:tc>
      </w:tr>
      <w:tr w:rsidR="0022723E" w:rsidRPr="00C51D72" w14:paraId="05DACB50" w14:textId="77777777">
        <w:tc>
          <w:tcPr>
            <w:tcW w:w="2551" w:type="dxa"/>
            <w:tcBorders>
              <w:top w:val="single" w:sz="2" w:space="0" w:color="000000"/>
              <w:left w:val="single" w:sz="2" w:space="0" w:color="000000"/>
              <w:bottom w:val="single" w:sz="2" w:space="0" w:color="000000"/>
              <w:right w:val="single" w:sz="2" w:space="0" w:color="000000"/>
            </w:tcBorders>
            <w:vAlign w:val="center"/>
          </w:tcPr>
          <w:p w14:paraId="1476BD49"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Diminution</w:t>
            </w:r>
          </w:p>
        </w:tc>
        <w:tc>
          <w:tcPr>
            <w:tcW w:w="2552" w:type="dxa"/>
            <w:tcBorders>
              <w:top w:val="single" w:sz="2" w:space="0" w:color="000000"/>
              <w:left w:val="single" w:sz="2" w:space="0" w:color="000000"/>
              <w:bottom w:val="single" w:sz="2" w:space="0" w:color="000000"/>
              <w:right w:val="single" w:sz="2" w:space="0" w:color="000000"/>
            </w:tcBorders>
            <w:vAlign w:val="center"/>
          </w:tcPr>
          <w:p w14:paraId="2A485B4F"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113.592,20</w:t>
            </w:r>
          </w:p>
        </w:tc>
        <w:tc>
          <w:tcPr>
            <w:tcW w:w="2551" w:type="dxa"/>
            <w:tcBorders>
              <w:top w:val="single" w:sz="2" w:space="0" w:color="000000"/>
              <w:left w:val="single" w:sz="2" w:space="0" w:color="000000"/>
              <w:bottom w:val="single" w:sz="2" w:space="0" w:color="000000"/>
              <w:right w:val="single" w:sz="2" w:space="0" w:color="000000"/>
            </w:tcBorders>
            <w:vAlign w:val="center"/>
          </w:tcPr>
          <w:p w14:paraId="34E3AB9C"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100.806,85</w:t>
            </w:r>
          </w:p>
        </w:tc>
        <w:tc>
          <w:tcPr>
            <w:tcW w:w="2552" w:type="dxa"/>
            <w:tcBorders>
              <w:top w:val="single" w:sz="2" w:space="0" w:color="000000"/>
              <w:left w:val="single" w:sz="2" w:space="0" w:color="000000"/>
              <w:bottom w:val="single" w:sz="2" w:space="0" w:color="000000"/>
              <w:right w:val="single" w:sz="2" w:space="0" w:color="000000"/>
            </w:tcBorders>
            <w:vAlign w:val="center"/>
          </w:tcPr>
          <w:p w14:paraId="1D3B4535"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-12.785,35</w:t>
            </w:r>
          </w:p>
        </w:tc>
      </w:tr>
      <w:tr w:rsidR="0022723E" w:rsidRPr="00C51D72" w14:paraId="5970CC2E" w14:textId="77777777">
        <w:tc>
          <w:tcPr>
            <w:tcW w:w="2551" w:type="dxa"/>
            <w:tcBorders>
              <w:top w:val="single" w:sz="2" w:space="0" w:color="000000"/>
              <w:left w:val="single" w:sz="2" w:space="0" w:color="000000"/>
              <w:bottom w:val="single" w:sz="2" w:space="0" w:color="000000"/>
              <w:right w:val="single" w:sz="2" w:space="0" w:color="000000"/>
            </w:tcBorders>
            <w:vAlign w:val="center"/>
          </w:tcPr>
          <w:p w14:paraId="35B6735C" w14:textId="77777777" w:rsidR="0022723E" w:rsidRPr="00D527FE" w:rsidRDefault="003C36C7">
            <w:pPr>
              <w:pStyle w:val="Tablecell"/>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Résultat</w:t>
            </w:r>
          </w:p>
        </w:tc>
        <w:tc>
          <w:tcPr>
            <w:tcW w:w="2552" w:type="dxa"/>
            <w:tcBorders>
              <w:top w:val="single" w:sz="2" w:space="0" w:color="000000"/>
              <w:left w:val="single" w:sz="2" w:space="0" w:color="000000"/>
              <w:bottom w:val="single" w:sz="2" w:space="0" w:color="000000"/>
              <w:right w:val="single" w:sz="2" w:space="0" w:color="000000"/>
            </w:tcBorders>
            <w:vAlign w:val="center"/>
          </w:tcPr>
          <w:p w14:paraId="33746C36"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1.559.881,15</w:t>
            </w:r>
          </w:p>
        </w:tc>
        <w:tc>
          <w:tcPr>
            <w:tcW w:w="2551" w:type="dxa"/>
            <w:tcBorders>
              <w:top w:val="single" w:sz="2" w:space="0" w:color="000000"/>
              <w:left w:val="single" w:sz="2" w:space="0" w:color="000000"/>
              <w:bottom w:val="single" w:sz="2" w:space="0" w:color="000000"/>
              <w:right w:val="single" w:sz="2" w:space="0" w:color="000000"/>
            </w:tcBorders>
            <w:vAlign w:val="center"/>
          </w:tcPr>
          <w:p w14:paraId="14681AA7"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1.559.881,15</w:t>
            </w:r>
          </w:p>
        </w:tc>
        <w:tc>
          <w:tcPr>
            <w:tcW w:w="2552" w:type="dxa"/>
            <w:tcBorders>
              <w:top w:val="single" w:sz="2" w:space="0" w:color="000000"/>
              <w:left w:val="single" w:sz="2" w:space="0" w:color="000000"/>
              <w:bottom w:val="single" w:sz="2" w:space="0" w:color="000000"/>
              <w:right w:val="single" w:sz="2" w:space="0" w:color="000000"/>
            </w:tcBorders>
            <w:vAlign w:val="center"/>
          </w:tcPr>
          <w:p w14:paraId="78D333A2"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r>
    </w:tbl>
    <w:p w14:paraId="151E1458" w14:textId="77777777"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APPROUVE</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 xml:space="preserve">la modification budgétaire </w:t>
      </w:r>
      <w:r w:rsidRPr="00C51D72">
        <w:rPr>
          <w:rStyle w:val="whP6pod"/>
          <w:rFonts w:ascii="Times New Roman" w:hAnsi="Times New Roman" w:cs="Times New Roman"/>
          <w:sz w:val="22"/>
          <w:szCs w:val="22"/>
        </w:rPr>
        <w:t>extraordinaire</w:t>
      </w:r>
      <w:r w:rsidRPr="00C51D72">
        <w:rPr>
          <w:rFonts w:ascii="Times New Roman" w:hAnsi="Times New Roman" w:cs="Times New Roman"/>
          <w:sz w:val="22"/>
          <w:szCs w:val="22"/>
        </w:rPr>
        <w:t xml:space="preserve"> du C.P.A.S. qui se clôture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1873"/>
        <w:gridCol w:w="3227"/>
        <w:gridCol w:w="2552"/>
        <w:gridCol w:w="2548"/>
      </w:tblGrid>
      <w:tr w:rsidR="0022723E" w:rsidRPr="00C51D72" w14:paraId="69358C6D" w14:textId="77777777" w:rsidTr="00D527FE">
        <w:trPr>
          <w:tblHeader/>
        </w:trPr>
        <w:tc>
          <w:tcPr>
            <w:tcW w:w="1873" w:type="dxa"/>
            <w:tcBorders>
              <w:top w:val="single" w:sz="2" w:space="0" w:color="000000"/>
              <w:left w:val="single" w:sz="2" w:space="0" w:color="000000"/>
              <w:bottom w:val="single" w:sz="2" w:space="0" w:color="000000"/>
              <w:right w:val="single" w:sz="2" w:space="0" w:color="000000"/>
            </w:tcBorders>
            <w:vAlign w:val="center"/>
          </w:tcPr>
          <w:p w14:paraId="01F7C250"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Service extraordinaire</w:t>
            </w:r>
          </w:p>
        </w:tc>
        <w:tc>
          <w:tcPr>
            <w:tcW w:w="3227" w:type="dxa"/>
            <w:tcBorders>
              <w:top w:val="single" w:sz="2" w:space="0" w:color="000000"/>
              <w:left w:val="single" w:sz="2" w:space="0" w:color="000000"/>
              <w:bottom w:val="single" w:sz="2" w:space="0" w:color="000000"/>
              <w:right w:val="single" w:sz="2" w:space="0" w:color="000000"/>
            </w:tcBorders>
            <w:vAlign w:val="center"/>
          </w:tcPr>
          <w:p w14:paraId="18E6260C"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Recettes</w:t>
            </w:r>
          </w:p>
        </w:tc>
        <w:tc>
          <w:tcPr>
            <w:tcW w:w="2552" w:type="dxa"/>
            <w:tcBorders>
              <w:top w:val="single" w:sz="2" w:space="0" w:color="000000"/>
              <w:left w:val="single" w:sz="2" w:space="0" w:color="000000"/>
              <w:bottom w:val="single" w:sz="2" w:space="0" w:color="000000"/>
              <w:right w:val="single" w:sz="2" w:space="0" w:color="000000"/>
            </w:tcBorders>
            <w:vAlign w:val="center"/>
          </w:tcPr>
          <w:p w14:paraId="504E4991"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Dépenses</w:t>
            </w:r>
          </w:p>
        </w:tc>
        <w:tc>
          <w:tcPr>
            <w:tcW w:w="2548" w:type="dxa"/>
            <w:tcBorders>
              <w:top w:val="single" w:sz="2" w:space="0" w:color="000000"/>
              <w:left w:val="single" w:sz="2" w:space="0" w:color="000000"/>
              <w:bottom w:val="single" w:sz="2" w:space="0" w:color="000000"/>
              <w:right w:val="single" w:sz="2" w:space="0" w:color="000000"/>
            </w:tcBorders>
            <w:vAlign w:val="center"/>
          </w:tcPr>
          <w:p w14:paraId="66691AC9" w14:textId="77777777" w:rsidR="0022723E" w:rsidRPr="00D527FE" w:rsidRDefault="003C36C7" w:rsidP="00D527FE">
            <w:pPr>
              <w:pStyle w:val="Tablecell"/>
              <w:jc w:val="right"/>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Solde</w:t>
            </w:r>
          </w:p>
        </w:tc>
      </w:tr>
      <w:tr w:rsidR="0022723E" w:rsidRPr="00C51D72" w14:paraId="11797CEE" w14:textId="77777777" w:rsidTr="00D527FE">
        <w:tc>
          <w:tcPr>
            <w:tcW w:w="1873" w:type="dxa"/>
            <w:tcBorders>
              <w:top w:val="single" w:sz="2" w:space="0" w:color="000000"/>
              <w:left w:val="single" w:sz="2" w:space="0" w:color="000000"/>
              <w:bottom w:val="single" w:sz="2" w:space="0" w:color="000000"/>
              <w:right w:val="single" w:sz="2" w:space="0" w:color="000000"/>
            </w:tcBorders>
            <w:vAlign w:val="center"/>
          </w:tcPr>
          <w:p w14:paraId="465911A8"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Budget initial /</w:t>
            </w:r>
          </w:p>
          <w:p w14:paraId="62072EA0"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M.B. précédente</w:t>
            </w:r>
          </w:p>
        </w:tc>
        <w:tc>
          <w:tcPr>
            <w:tcW w:w="3227" w:type="dxa"/>
            <w:tcBorders>
              <w:top w:val="single" w:sz="2" w:space="0" w:color="000000"/>
              <w:left w:val="single" w:sz="2" w:space="0" w:color="000000"/>
              <w:bottom w:val="single" w:sz="2" w:space="0" w:color="000000"/>
              <w:right w:val="single" w:sz="2" w:space="0" w:color="000000"/>
            </w:tcBorders>
            <w:vAlign w:val="center"/>
          </w:tcPr>
          <w:p w14:paraId="48948CBC"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20.227,25</w:t>
            </w:r>
          </w:p>
        </w:tc>
        <w:tc>
          <w:tcPr>
            <w:tcW w:w="2552" w:type="dxa"/>
            <w:tcBorders>
              <w:top w:val="single" w:sz="2" w:space="0" w:color="000000"/>
              <w:left w:val="single" w:sz="2" w:space="0" w:color="000000"/>
              <w:bottom w:val="single" w:sz="2" w:space="0" w:color="000000"/>
              <w:right w:val="single" w:sz="2" w:space="0" w:color="000000"/>
            </w:tcBorders>
            <w:vAlign w:val="center"/>
          </w:tcPr>
          <w:p w14:paraId="05E7F59F"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c>
          <w:tcPr>
            <w:tcW w:w="2548" w:type="dxa"/>
            <w:tcBorders>
              <w:top w:val="single" w:sz="2" w:space="0" w:color="000000"/>
              <w:left w:val="single" w:sz="2" w:space="0" w:color="000000"/>
              <w:bottom w:val="single" w:sz="2" w:space="0" w:color="000000"/>
              <w:right w:val="single" w:sz="2" w:space="0" w:color="000000"/>
            </w:tcBorders>
            <w:vAlign w:val="center"/>
          </w:tcPr>
          <w:p w14:paraId="2EC688C3"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20.227,25</w:t>
            </w:r>
          </w:p>
        </w:tc>
      </w:tr>
      <w:tr w:rsidR="0022723E" w:rsidRPr="00C51D72" w14:paraId="3B70912D" w14:textId="77777777" w:rsidTr="00D527FE">
        <w:tc>
          <w:tcPr>
            <w:tcW w:w="1873" w:type="dxa"/>
            <w:tcBorders>
              <w:top w:val="single" w:sz="2" w:space="0" w:color="000000"/>
              <w:left w:val="single" w:sz="2" w:space="0" w:color="000000"/>
              <w:bottom w:val="single" w:sz="2" w:space="0" w:color="000000"/>
              <w:right w:val="single" w:sz="2" w:space="0" w:color="000000"/>
            </w:tcBorders>
            <w:vAlign w:val="center"/>
          </w:tcPr>
          <w:p w14:paraId="7CBA7300"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Augmentation</w:t>
            </w:r>
          </w:p>
        </w:tc>
        <w:tc>
          <w:tcPr>
            <w:tcW w:w="3227" w:type="dxa"/>
            <w:tcBorders>
              <w:top w:val="single" w:sz="2" w:space="0" w:color="000000"/>
              <w:left w:val="single" w:sz="2" w:space="0" w:color="000000"/>
              <w:bottom w:val="single" w:sz="2" w:space="0" w:color="000000"/>
              <w:right w:val="single" w:sz="2" w:space="0" w:color="000000"/>
            </w:tcBorders>
            <w:vAlign w:val="center"/>
          </w:tcPr>
          <w:p w14:paraId="17DABE37"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c>
          <w:tcPr>
            <w:tcW w:w="2552" w:type="dxa"/>
            <w:tcBorders>
              <w:top w:val="single" w:sz="2" w:space="0" w:color="000000"/>
              <w:left w:val="single" w:sz="2" w:space="0" w:color="000000"/>
              <w:bottom w:val="single" w:sz="2" w:space="0" w:color="000000"/>
              <w:right w:val="single" w:sz="2" w:space="0" w:color="000000"/>
            </w:tcBorders>
            <w:vAlign w:val="center"/>
          </w:tcPr>
          <w:p w14:paraId="3DBFF728"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20.227,25</w:t>
            </w:r>
          </w:p>
        </w:tc>
        <w:tc>
          <w:tcPr>
            <w:tcW w:w="2548" w:type="dxa"/>
            <w:tcBorders>
              <w:top w:val="single" w:sz="2" w:space="0" w:color="000000"/>
              <w:left w:val="single" w:sz="2" w:space="0" w:color="000000"/>
              <w:bottom w:val="single" w:sz="2" w:space="0" w:color="000000"/>
              <w:right w:val="single" w:sz="2" w:space="0" w:color="000000"/>
            </w:tcBorders>
            <w:vAlign w:val="center"/>
          </w:tcPr>
          <w:p w14:paraId="087995B2"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-20.227,25</w:t>
            </w:r>
          </w:p>
        </w:tc>
      </w:tr>
      <w:tr w:rsidR="0022723E" w:rsidRPr="00C51D72" w14:paraId="734DE14F" w14:textId="77777777" w:rsidTr="00D527FE">
        <w:tc>
          <w:tcPr>
            <w:tcW w:w="1873" w:type="dxa"/>
            <w:tcBorders>
              <w:top w:val="single" w:sz="2" w:space="0" w:color="000000"/>
              <w:left w:val="single" w:sz="2" w:space="0" w:color="000000"/>
              <w:bottom w:val="single" w:sz="2" w:space="0" w:color="000000"/>
              <w:right w:val="single" w:sz="2" w:space="0" w:color="000000"/>
            </w:tcBorders>
            <w:vAlign w:val="center"/>
          </w:tcPr>
          <w:p w14:paraId="687E3812"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Diminution</w:t>
            </w:r>
          </w:p>
        </w:tc>
        <w:tc>
          <w:tcPr>
            <w:tcW w:w="3227" w:type="dxa"/>
            <w:tcBorders>
              <w:top w:val="single" w:sz="2" w:space="0" w:color="000000"/>
              <w:left w:val="single" w:sz="2" w:space="0" w:color="000000"/>
              <w:bottom w:val="single" w:sz="2" w:space="0" w:color="000000"/>
              <w:right w:val="single" w:sz="2" w:space="0" w:color="000000"/>
            </w:tcBorders>
            <w:vAlign w:val="center"/>
          </w:tcPr>
          <w:p w14:paraId="4D3A0ABE"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c>
          <w:tcPr>
            <w:tcW w:w="2552" w:type="dxa"/>
            <w:tcBorders>
              <w:top w:val="single" w:sz="2" w:space="0" w:color="000000"/>
              <w:left w:val="single" w:sz="2" w:space="0" w:color="000000"/>
              <w:bottom w:val="single" w:sz="2" w:space="0" w:color="000000"/>
              <w:right w:val="single" w:sz="2" w:space="0" w:color="000000"/>
            </w:tcBorders>
            <w:vAlign w:val="center"/>
          </w:tcPr>
          <w:p w14:paraId="46BAECB2"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c>
          <w:tcPr>
            <w:tcW w:w="2548" w:type="dxa"/>
            <w:tcBorders>
              <w:top w:val="single" w:sz="2" w:space="0" w:color="000000"/>
              <w:left w:val="single" w:sz="2" w:space="0" w:color="000000"/>
              <w:bottom w:val="single" w:sz="2" w:space="0" w:color="000000"/>
              <w:right w:val="single" w:sz="2" w:space="0" w:color="000000"/>
            </w:tcBorders>
            <w:vAlign w:val="center"/>
          </w:tcPr>
          <w:p w14:paraId="0C17420F"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r>
      <w:tr w:rsidR="0022723E" w:rsidRPr="00C51D72" w14:paraId="39F6261F" w14:textId="77777777" w:rsidTr="00D527FE">
        <w:tc>
          <w:tcPr>
            <w:tcW w:w="1873" w:type="dxa"/>
            <w:tcBorders>
              <w:top w:val="single" w:sz="2" w:space="0" w:color="000000"/>
              <w:left w:val="single" w:sz="2" w:space="0" w:color="000000"/>
              <w:bottom w:val="single" w:sz="2" w:space="0" w:color="000000"/>
              <w:right w:val="single" w:sz="2" w:space="0" w:color="000000"/>
            </w:tcBorders>
            <w:vAlign w:val="center"/>
          </w:tcPr>
          <w:p w14:paraId="0DC985D2" w14:textId="77777777" w:rsidR="0022723E" w:rsidRPr="00D527FE" w:rsidRDefault="003C36C7">
            <w:pPr>
              <w:pStyle w:val="Tablecell"/>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Résultat</w:t>
            </w:r>
          </w:p>
        </w:tc>
        <w:tc>
          <w:tcPr>
            <w:tcW w:w="3227" w:type="dxa"/>
            <w:tcBorders>
              <w:top w:val="single" w:sz="2" w:space="0" w:color="000000"/>
              <w:left w:val="single" w:sz="2" w:space="0" w:color="000000"/>
              <w:bottom w:val="single" w:sz="2" w:space="0" w:color="000000"/>
              <w:right w:val="single" w:sz="2" w:space="0" w:color="000000"/>
            </w:tcBorders>
            <w:vAlign w:val="center"/>
          </w:tcPr>
          <w:p w14:paraId="071F6EFB"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20.227,25</w:t>
            </w:r>
          </w:p>
        </w:tc>
        <w:tc>
          <w:tcPr>
            <w:tcW w:w="2552" w:type="dxa"/>
            <w:tcBorders>
              <w:top w:val="single" w:sz="2" w:space="0" w:color="000000"/>
              <w:left w:val="single" w:sz="2" w:space="0" w:color="000000"/>
              <w:bottom w:val="single" w:sz="2" w:space="0" w:color="000000"/>
              <w:right w:val="single" w:sz="2" w:space="0" w:color="000000"/>
            </w:tcBorders>
            <w:vAlign w:val="center"/>
          </w:tcPr>
          <w:p w14:paraId="5BF154AB"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20.227,25</w:t>
            </w:r>
          </w:p>
        </w:tc>
        <w:tc>
          <w:tcPr>
            <w:tcW w:w="2548" w:type="dxa"/>
            <w:tcBorders>
              <w:top w:val="single" w:sz="2" w:space="0" w:color="000000"/>
              <w:left w:val="single" w:sz="2" w:space="0" w:color="000000"/>
              <w:bottom w:val="single" w:sz="2" w:space="0" w:color="000000"/>
              <w:right w:val="single" w:sz="2" w:space="0" w:color="000000"/>
            </w:tcBorders>
            <w:vAlign w:val="center"/>
          </w:tcPr>
          <w:p w14:paraId="544A1AE2"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 </w:t>
            </w:r>
          </w:p>
        </w:tc>
      </w:tr>
    </w:tbl>
    <w:p w14:paraId="7E2F5AF6"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79C19BA1" w14:textId="77777777" w:rsidR="0022723E" w:rsidRPr="00C51D72" w:rsidRDefault="003C36C7">
      <w:pPr>
        <w:pStyle w:val="Titre2"/>
        <w:tabs>
          <w:tab w:val="left" w:pos="1020"/>
        </w:tabs>
        <w:spacing w:before="0" w:after="113"/>
        <w:ind w:left="510" w:hanging="510"/>
        <w:jc w:val="both"/>
        <w:rPr>
          <w:rFonts w:cs="Times New Roman"/>
          <w:szCs w:val="22"/>
        </w:rPr>
      </w:pPr>
      <w:bookmarkStart w:id="3" w:name="__RefHeading___Toc1768_34993492363"/>
      <w:bookmarkEnd w:id="3"/>
      <w:r w:rsidRPr="00C51D72">
        <w:rPr>
          <w:rFonts w:cs="Times New Roman"/>
          <w:color w:val="000000"/>
          <w:szCs w:val="22"/>
          <w:u w:val="none"/>
        </w:rPr>
        <w:t>4.</w:t>
      </w:r>
      <w:r w:rsidRPr="00C51D72">
        <w:rPr>
          <w:rFonts w:cs="Times New Roman"/>
          <w:color w:val="000000"/>
          <w:szCs w:val="22"/>
          <w:u w:val="none"/>
        </w:rPr>
        <w:tab/>
      </w:r>
      <w:r w:rsidRPr="00C51D72">
        <w:rPr>
          <w:rFonts w:cs="Times New Roman"/>
          <w:caps/>
          <w:color w:val="000000"/>
          <w:szCs w:val="22"/>
        </w:rPr>
        <w:t>C.P.A.S. - BUDGET 2026 - TUTELLE SPÉCIALE D'APPROBATION.</w:t>
      </w:r>
    </w:p>
    <w:p w14:paraId="137C70E4"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2F7669F8" w14:textId="72C0E7A5"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Vu le CDLD en ses articles afférents à la tutelle communale sur les CPAS ; </w:t>
      </w:r>
    </w:p>
    <w:p w14:paraId="6DD57B4E" w14:textId="6D839555" w:rsidR="0022723E" w:rsidRPr="00C51D72" w:rsidRDefault="003C36C7" w:rsidP="00D527FE">
      <w:pPr>
        <w:rPr>
          <w:rFonts w:ascii="Times New Roman" w:hAnsi="Times New Roman" w:cs="Times New Roman"/>
          <w:sz w:val="22"/>
          <w:szCs w:val="22"/>
        </w:rPr>
      </w:pPr>
      <w:r w:rsidRPr="00C51D72">
        <w:rPr>
          <w:rFonts w:ascii="Times New Roman" w:hAnsi="Times New Roman" w:cs="Times New Roman"/>
          <w:sz w:val="22"/>
          <w:szCs w:val="22"/>
        </w:rPr>
        <w:t>Vu la loi organique du 08 juillet 1976, tel que modifiée, notamment l'article 112 bis ; </w:t>
      </w:r>
    </w:p>
    <w:p w14:paraId="3A6105FC" w14:textId="6C04C96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avoir entendu Monsieur le Président du C.P.A.S. en sa note politique d'accompagnement du budget 2026 du C.P.A.S. et ses commentaires ; </w:t>
      </w:r>
    </w:p>
    <w:p w14:paraId="3037CE52" w14:textId="0EAF411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6E7C5160" w14:textId="7460227B" w:rsidR="0022723E" w:rsidRPr="00D527FE" w:rsidRDefault="003C36C7">
      <w:pPr>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 ;</w:t>
      </w:r>
      <w:r w:rsidRPr="00D527FE">
        <w:rPr>
          <w:rFonts w:ascii="Times New Roman" w:hAnsi="Times New Roman" w:cs="Times New Roman"/>
          <w:b/>
          <w:bCs/>
          <w:sz w:val="22"/>
          <w:szCs w:val="22"/>
        </w:rPr>
        <w:t> </w:t>
      </w:r>
    </w:p>
    <w:p w14:paraId="781823DF" w14:textId="2717CBCF"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APPROUVE</w:t>
      </w:r>
      <w:r w:rsidRPr="00C51D72">
        <w:rPr>
          <w:rFonts w:ascii="Times New Roman" w:hAnsi="Times New Roman" w:cs="Times New Roman"/>
          <w:sz w:val="22"/>
          <w:szCs w:val="22"/>
        </w:rPr>
        <w:t> le Budget du C.P.A.S. pour l'exercice 2026, lequel, avec une intervention communale inchangée, se clôture comme suit : </w:t>
      </w:r>
    </w:p>
    <w:p w14:paraId="51252BBB" w14:textId="77777777" w:rsidR="0022723E" w:rsidRPr="00D527FE" w:rsidRDefault="003C36C7">
      <w:pPr>
        <w:pStyle w:val="whP2pod"/>
        <w:rPr>
          <w:rFonts w:ascii="Times New Roman" w:hAnsi="Times New Roman" w:cs="Times New Roman"/>
          <w:b/>
          <w:bCs/>
          <w:sz w:val="22"/>
          <w:szCs w:val="22"/>
        </w:rPr>
      </w:pPr>
      <w:r w:rsidRPr="00D527FE">
        <w:rPr>
          <w:rStyle w:val="whP5pod"/>
          <w:rFonts w:ascii="Times New Roman" w:hAnsi="Times New Roman" w:cs="Times New Roman"/>
          <w:b w:val="0"/>
          <w:bCs/>
          <w:sz w:val="22"/>
          <w:szCs w:val="22"/>
        </w:rPr>
        <w:t>Service 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287"/>
        <w:gridCol w:w="2456"/>
        <w:gridCol w:w="2457"/>
      </w:tblGrid>
      <w:tr w:rsidR="0022723E" w:rsidRPr="00C51D72" w14:paraId="2B2CD6DF" w14:textId="77777777">
        <w:tc>
          <w:tcPr>
            <w:tcW w:w="5291" w:type="dxa"/>
            <w:tcBorders>
              <w:top w:val="single" w:sz="2" w:space="0" w:color="000000"/>
              <w:left w:val="single" w:sz="2" w:space="0" w:color="000000"/>
              <w:bottom w:val="single" w:sz="2" w:space="0" w:color="000000"/>
              <w:right w:val="single" w:sz="2" w:space="0" w:color="000000"/>
            </w:tcBorders>
            <w:vAlign w:val="center"/>
          </w:tcPr>
          <w:p w14:paraId="1A0B7961"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 </w:t>
            </w:r>
          </w:p>
        </w:tc>
        <w:tc>
          <w:tcPr>
            <w:tcW w:w="2457" w:type="dxa"/>
            <w:tcBorders>
              <w:top w:val="single" w:sz="2" w:space="0" w:color="000000"/>
              <w:left w:val="single" w:sz="2" w:space="0" w:color="000000"/>
              <w:bottom w:val="single" w:sz="2" w:space="0" w:color="000000"/>
              <w:right w:val="single" w:sz="2" w:space="0" w:color="000000"/>
            </w:tcBorders>
            <w:vAlign w:val="center"/>
          </w:tcPr>
          <w:p w14:paraId="453C4CEA"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Recettes</w:t>
            </w:r>
          </w:p>
        </w:tc>
        <w:tc>
          <w:tcPr>
            <w:tcW w:w="2458" w:type="dxa"/>
            <w:tcBorders>
              <w:top w:val="single" w:sz="2" w:space="0" w:color="000000"/>
              <w:left w:val="single" w:sz="2" w:space="0" w:color="000000"/>
              <w:bottom w:val="single" w:sz="2" w:space="0" w:color="000000"/>
              <w:right w:val="single" w:sz="2" w:space="0" w:color="000000"/>
            </w:tcBorders>
            <w:vAlign w:val="center"/>
          </w:tcPr>
          <w:p w14:paraId="355F7C35"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Dépenses</w:t>
            </w:r>
          </w:p>
        </w:tc>
      </w:tr>
      <w:tr w:rsidR="0022723E" w:rsidRPr="00C51D72" w14:paraId="059DCB01" w14:textId="77777777">
        <w:tc>
          <w:tcPr>
            <w:tcW w:w="5291" w:type="dxa"/>
            <w:tcBorders>
              <w:top w:val="single" w:sz="2" w:space="0" w:color="000000"/>
              <w:left w:val="single" w:sz="2" w:space="0" w:color="000000"/>
              <w:bottom w:val="single" w:sz="2" w:space="0" w:color="000000"/>
              <w:right w:val="single" w:sz="2" w:space="0" w:color="000000"/>
            </w:tcBorders>
            <w:vAlign w:val="center"/>
          </w:tcPr>
          <w:p w14:paraId="723BE5C7"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Exercice propre</w:t>
            </w:r>
          </w:p>
        </w:tc>
        <w:tc>
          <w:tcPr>
            <w:tcW w:w="2457" w:type="dxa"/>
            <w:tcBorders>
              <w:top w:val="single" w:sz="2" w:space="0" w:color="000000"/>
              <w:left w:val="single" w:sz="2" w:space="0" w:color="000000"/>
              <w:bottom w:val="single" w:sz="2" w:space="0" w:color="000000"/>
              <w:right w:val="single" w:sz="2" w:space="0" w:color="000000"/>
            </w:tcBorders>
            <w:vAlign w:val="center"/>
          </w:tcPr>
          <w:p w14:paraId="7EEAE90B"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1.843.409,00</w:t>
            </w:r>
          </w:p>
        </w:tc>
        <w:tc>
          <w:tcPr>
            <w:tcW w:w="2458" w:type="dxa"/>
            <w:tcBorders>
              <w:top w:val="single" w:sz="2" w:space="0" w:color="000000"/>
              <w:left w:val="single" w:sz="2" w:space="0" w:color="000000"/>
              <w:bottom w:val="single" w:sz="2" w:space="0" w:color="000000"/>
              <w:right w:val="single" w:sz="2" w:space="0" w:color="000000"/>
            </w:tcBorders>
            <w:vAlign w:val="center"/>
          </w:tcPr>
          <w:p w14:paraId="14FB3E9D"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1.843.409,00</w:t>
            </w:r>
          </w:p>
        </w:tc>
      </w:tr>
      <w:tr w:rsidR="0022723E" w:rsidRPr="00C51D72" w14:paraId="475BF663" w14:textId="77777777">
        <w:tc>
          <w:tcPr>
            <w:tcW w:w="5291" w:type="dxa"/>
            <w:tcBorders>
              <w:top w:val="single" w:sz="2" w:space="0" w:color="000000"/>
              <w:left w:val="single" w:sz="2" w:space="0" w:color="000000"/>
              <w:bottom w:val="single" w:sz="2" w:space="0" w:color="000000"/>
              <w:right w:val="single" w:sz="2" w:space="0" w:color="000000"/>
            </w:tcBorders>
            <w:vAlign w:val="center"/>
          </w:tcPr>
          <w:p w14:paraId="1181A129"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Exercices antérieurs</w:t>
            </w:r>
          </w:p>
          <w:p w14:paraId="3510536C"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Prélèvements</w:t>
            </w:r>
          </w:p>
        </w:tc>
        <w:tc>
          <w:tcPr>
            <w:tcW w:w="2457" w:type="dxa"/>
            <w:tcBorders>
              <w:top w:val="single" w:sz="2" w:space="0" w:color="000000"/>
              <w:left w:val="single" w:sz="2" w:space="0" w:color="000000"/>
              <w:bottom w:val="single" w:sz="2" w:space="0" w:color="000000"/>
              <w:right w:val="single" w:sz="2" w:space="0" w:color="000000"/>
            </w:tcBorders>
            <w:vAlign w:val="center"/>
          </w:tcPr>
          <w:p w14:paraId="4E5D328C"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0,00</w:t>
            </w:r>
          </w:p>
          <w:p w14:paraId="6868F64E"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0,00</w:t>
            </w:r>
          </w:p>
        </w:tc>
        <w:tc>
          <w:tcPr>
            <w:tcW w:w="2458" w:type="dxa"/>
            <w:tcBorders>
              <w:top w:val="single" w:sz="2" w:space="0" w:color="000000"/>
              <w:left w:val="single" w:sz="2" w:space="0" w:color="000000"/>
              <w:bottom w:val="single" w:sz="2" w:space="0" w:color="000000"/>
              <w:right w:val="single" w:sz="2" w:space="0" w:color="000000"/>
            </w:tcBorders>
            <w:vAlign w:val="center"/>
          </w:tcPr>
          <w:p w14:paraId="1DBDF930"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0,00</w:t>
            </w:r>
          </w:p>
          <w:p w14:paraId="1C0D5AAA"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0,00</w:t>
            </w:r>
          </w:p>
        </w:tc>
      </w:tr>
      <w:tr w:rsidR="0022723E" w:rsidRPr="00C51D72" w14:paraId="7ECAA7B3" w14:textId="77777777">
        <w:tc>
          <w:tcPr>
            <w:tcW w:w="5291" w:type="dxa"/>
            <w:tcBorders>
              <w:top w:val="single" w:sz="2" w:space="0" w:color="000000"/>
              <w:left w:val="single" w:sz="2" w:space="0" w:color="000000"/>
              <w:bottom w:val="single" w:sz="2" w:space="0" w:color="000000"/>
              <w:right w:val="single" w:sz="2" w:space="0" w:color="000000"/>
            </w:tcBorders>
            <w:vAlign w:val="center"/>
          </w:tcPr>
          <w:p w14:paraId="2E080A82" w14:textId="77777777" w:rsidR="0022723E" w:rsidRPr="00D527FE" w:rsidRDefault="003C36C7">
            <w:pPr>
              <w:pStyle w:val="Tablecell"/>
              <w:rPr>
                <w:rFonts w:ascii="Times New Roman" w:hAnsi="Times New Roman" w:cs="Times New Roman"/>
                <w:b/>
                <w:bCs/>
                <w:sz w:val="22"/>
                <w:szCs w:val="22"/>
              </w:rPr>
            </w:pPr>
            <w:r w:rsidRPr="00D527FE">
              <w:rPr>
                <w:rStyle w:val="whP3pod"/>
                <w:rFonts w:ascii="Times New Roman" w:hAnsi="Times New Roman" w:cs="Times New Roman"/>
                <w:b w:val="0"/>
                <w:bCs/>
                <w:sz w:val="22"/>
                <w:szCs w:val="22"/>
              </w:rPr>
              <w:lastRenderedPageBreak/>
              <w:t>Totaux</w:t>
            </w:r>
          </w:p>
        </w:tc>
        <w:tc>
          <w:tcPr>
            <w:tcW w:w="2457" w:type="dxa"/>
            <w:tcBorders>
              <w:top w:val="single" w:sz="2" w:space="0" w:color="000000"/>
              <w:left w:val="single" w:sz="2" w:space="0" w:color="000000"/>
              <w:bottom w:val="single" w:sz="2" w:space="0" w:color="000000"/>
              <w:right w:val="single" w:sz="2" w:space="0" w:color="000000"/>
            </w:tcBorders>
            <w:vAlign w:val="center"/>
          </w:tcPr>
          <w:p w14:paraId="0587EF34" w14:textId="77777777" w:rsidR="0022723E" w:rsidRPr="00D527FE" w:rsidRDefault="003C36C7">
            <w:pPr>
              <w:pStyle w:val="whP10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1.843.409,00</w:t>
            </w:r>
          </w:p>
        </w:tc>
        <w:tc>
          <w:tcPr>
            <w:tcW w:w="2458" w:type="dxa"/>
            <w:tcBorders>
              <w:top w:val="single" w:sz="2" w:space="0" w:color="000000"/>
              <w:left w:val="single" w:sz="2" w:space="0" w:color="000000"/>
              <w:bottom w:val="single" w:sz="2" w:space="0" w:color="000000"/>
              <w:right w:val="single" w:sz="2" w:space="0" w:color="000000"/>
            </w:tcBorders>
            <w:vAlign w:val="center"/>
          </w:tcPr>
          <w:p w14:paraId="4AF0466D" w14:textId="77777777" w:rsidR="0022723E" w:rsidRPr="00D527FE" w:rsidRDefault="003C36C7">
            <w:pPr>
              <w:pStyle w:val="whP10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1.843.409,00</w:t>
            </w:r>
          </w:p>
        </w:tc>
      </w:tr>
    </w:tbl>
    <w:p w14:paraId="3EB41414" w14:textId="7B8C14D1" w:rsidR="0022723E" w:rsidRDefault="003C36C7" w:rsidP="00D527FE">
      <w:pPr>
        <w:rPr>
          <w:rFonts w:ascii="Times New Roman" w:hAnsi="Times New Roman" w:cs="Times New Roman"/>
          <w:sz w:val="22"/>
          <w:szCs w:val="22"/>
        </w:rPr>
      </w:pPr>
      <w:r w:rsidRPr="00C51D72">
        <w:rPr>
          <w:rFonts w:ascii="Times New Roman" w:hAnsi="Times New Roman" w:cs="Times New Roman"/>
          <w:sz w:val="22"/>
          <w:szCs w:val="22"/>
        </w:rPr>
        <w:t>Boni : 0,00 €. </w:t>
      </w:r>
    </w:p>
    <w:p w14:paraId="6342E253" w14:textId="77777777" w:rsidR="00D527FE" w:rsidRPr="00C51D72" w:rsidRDefault="00D527FE" w:rsidP="00D527FE">
      <w:pPr>
        <w:rPr>
          <w:rFonts w:ascii="Times New Roman" w:hAnsi="Times New Roman" w:cs="Times New Roman"/>
          <w:b/>
          <w:bCs/>
          <w:color w:val="000000"/>
          <w:sz w:val="22"/>
          <w:szCs w:val="22"/>
        </w:rPr>
      </w:pPr>
    </w:p>
    <w:p w14:paraId="1D7314B7" w14:textId="77777777" w:rsidR="0022723E" w:rsidRPr="00C51D72" w:rsidRDefault="003C36C7">
      <w:pPr>
        <w:pStyle w:val="Titre2"/>
        <w:tabs>
          <w:tab w:val="left" w:pos="1020"/>
        </w:tabs>
        <w:spacing w:before="0" w:after="113"/>
        <w:ind w:left="510" w:hanging="510"/>
        <w:jc w:val="both"/>
        <w:rPr>
          <w:rFonts w:cs="Times New Roman"/>
          <w:szCs w:val="22"/>
        </w:rPr>
      </w:pPr>
      <w:bookmarkStart w:id="4" w:name="__RefHeading___Toc1768_34993492364"/>
      <w:bookmarkEnd w:id="4"/>
      <w:r w:rsidRPr="00C51D72">
        <w:rPr>
          <w:rFonts w:cs="Times New Roman"/>
          <w:color w:val="000000"/>
          <w:szCs w:val="22"/>
          <w:u w:val="none"/>
        </w:rPr>
        <w:t>5.</w:t>
      </w:r>
      <w:r w:rsidRPr="00C51D72">
        <w:rPr>
          <w:rFonts w:cs="Times New Roman"/>
          <w:color w:val="000000"/>
          <w:szCs w:val="22"/>
          <w:u w:val="none"/>
        </w:rPr>
        <w:tab/>
      </w:r>
      <w:r w:rsidRPr="00C51D72">
        <w:rPr>
          <w:rFonts w:cs="Times New Roman"/>
          <w:caps/>
          <w:color w:val="000000"/>
          <w:szCs w:val="22"/>
        </w:rPr>
        <w:t>MODIFICATION BUDGÉTAIRE N°1 DU BUDGET 2025 DE LA FABRIQUE D’ÉGLISE SAINT JEAN-BAPTISTE DE REMICOURT - AVIS DU CONSEIL COMMUNAL.</w:t>
      </w:r>
    </w:p>
    <w:p w14:paraId="62EE74F7"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2807CE6B" w14:textId="17F16D3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impérial du 30 décembre 1809 ; </w:t>
      </w:r>
    </w:p>
    <w:p w14:paraId="20EA757B" w14:textId="23F7690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loi du 04 mars 1870 sur le temporel des cultes ; </w:t>
      </w:r>
    </w:p>
    <w:p w14:paraId="54013E3B" w14:textId="658575D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circulaire du 14 mars 2012 relative à la comptabilité fabricienne ; </w:t>
      </w:r>
    </w:p>
    <w:p w14:paraId="4FDB1D9D" w14:textId="4C07288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la modification budgétaire de la Fabrique d’église Saint-Jean Baptiste a été déposée le 15 septembre 2025 ; </w:t>
      </w:r>
    </w:p>
    <w:p w14:paraId="784BC5B7" w14:textId="49A99D7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le courrier du Diocèse de Liège approuvant la modification budgétaire, </w:t>
      </w:r>
    </w:p>
    <w:p w14:paraId="581D70B3" w14:textId="0B0A34A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cette modification budgétaire se clôture en équilibre par un total de dépenses de 67.463,00 euros et un total de recettes de 67.463,00 euros ; </w:t>
      </w:r>
    </w:p>
    <w:p w14:paraId="57DB1796" w14:textId="21927F0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cette modification budgétaire ne modifie pas la subvention communale pour les frais ordinaires du culte ; </w:t>
      </w:r>
    </w:p>
    <w:p w14:paraId="19D45CA4" w14:textId="0C20D8C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ces motifs ; </w:t>
      </w:r>
    </w:p>
    <w:p w14:paraId="3341F7F7" w14:textId="6329604C"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 ;</w:t>
      </w:r>
      <w:r w:rsidRPr="00D527FE">
        <w:rPr>
          <w:rFonts w:ascii="Times New Roman" w:hAnsi="Times New Roman" w:cs="Times New Roman"/>
          <w:b/>
          <w:bCs/>
          <w:sz w:val="22"/>
          <w:szCs w:val="22"/>
        </w:rPr>
        <w:t> </w:t>
      </w:r>
    </w:p>
    <w:p w14:paraId="2C8D35B7" w14:textId="170B2BC6" w:rsidR="0022723E" w:rsidRPr="00C51D72" w:rsidRDefault="003C36C7" w:rsidP="00D527FE">
      <w:pPr>
        <w:pStyle w:val="whP2pod"/>
        <w:rPr>
          <w:rFonts w:ascii="Times New Roman" w:hAnsi="Times New Roman" w:cs="Times New Roman"/>
          <w:color w:val="000000"/>
          <w:sz w:val="22"/>
          <w:szCs w:val="22"/>
        </w:rPr>
      </w:pPr>
      <w:r w:rsidRPr="00D527FE">
        <w:rPr>
          <w:rStyle w:val="whP3pod"/>
          <w:rFonts w:ascii="Times New Roman" w:hAnsi="Times New Roman" w:cs="Times New Roman"/>
          <w:b w:val="0"/>
          <w:bCs/>
          <w:sz w:val="22"/>
          <w:szCs w:val="22"/>
        </w:rPr>
        <w:t>REMET</w:t>
      </w:r>
      <w:r w:rsidRPr="00D527FE">
        <w:rPr>
          <w:rFonts w:ascii="Times New Roman" w:hAnsi="Times New Roman" w:cs="Times New Roman"/>
          <w:b/>
          <w:bCs/>
          <w:sz w:val="22"/>
          <w:szCs w:val="22"/>
        </w:rPr>
        <w:t xml:space="preserve"> </w:t>
      </w:r>
      <w:r w:rsidRPr="00D527FE">
        <w:rPr>
          <w:rStyle w:val="whP3pod"/>
          <w:rFonts w:ascii="Times New Roman" w:hAnsi="Times New Roman" w:cs="Times New Roman"/>
          <w:b w:val="0"/>
          <w:bCs/>
          <w:sz w:val="22"/>
          <w:szCs w:val="22"/>
        </w:rPr>
        <w:t>UN AVIS</w:t>
      </w:r>
      <w:r w:rsidRPr="00D527FE">
        <w:rPr>
          <w:rStyle w:val="whP11pod"/>
          <w:rFonts w:ascii="Times New Roman" w:hAnsi="Times New Roman" w:cs="Times New Roman"/>
          <w:b w:val="0"/>
          <w:bCs/>
          <w:sz w:val="22"/>
          <w:szCs w:val="22"/>
        </w:rPr>
        <w:t xml:space="preserve"> </w:t>
      </w:r>
      <w:r w:rsidRPr="00D527FE">
        <w:rPr>
          <w:rStyle w:val="whP3pod"/>
          <w:rFonts w:ascii="Times New Roman" w:hAnsi="Times New Roman" w:cs="Times New Roman"/>
          <w:b w:val="0"/>
          <w:bCs/>
          <w:sz w:val="22"/>
          <w:szCs w:val="22"/>
        </w:rPr>
        <w:t>FAVORABLE</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vis-à-vis de la modification budgétaire du budget 2025 de la Fabrique d’église Saint-Jean Baptiste.</w:t>
      </w:r>
    </w:p>
    <w:p w14:paraId="405271E4"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5E80B73" w14:textId="77777777" w:rsidR="0022723E" w:rsidRPr="00C51D72" w:rsidRDefault="003C36C7">
      <w:pPr>
        <w:pStyle w:val="Titre2"/>
        <w:tabs>
          <w:tab w:val="left" w:pos="1020"/>
        </w:tabs>
        <w:spacing w:before="0" w:after="113"/>
        <w:ind w:left="510" w:hanging="510"/>
        <w:jc w:val="both"/>
        <w:rPr>
          <w:rFonts w:cs="Times New Roman"/>
          <w:szCs w:val="22"/>
        </w:rPr>
      </w:pPr>
      <w:bookmarkStart w:id="5" w:name="__RefHeading___Toc1768_34993492365"/>
      <w:bookmarkEnd w:id="5"/>
      <w:r w:rsidRPr="00C51D72">
        <w:rPr>
          <w:rFonts w:cs="Times New Roman"/>
          <w:color w:val="000000"/>
          <w:szCs w:val="22"/>
          <w:u w:val="none"/>
        </w:rPr>
        <w:t>6.</w:t>
      </w:r>
      <w:r w:rsidRPr="00C51D72">
        <w:rPr>
          <w:rFonts w:cs="Times New Roman"/>
          <w:color w:val="000000"/>
          <w:szCs w:val="22"/>
          <w:u w:val="none"/>
        </w:rPr>
        <w:tab/>
      </w:r>
      <w:r w:rsidRPr="00C51D72">
        <w:rPr>
          <w:rFonts w:cs="Times New Roman"/>
          <w:caps/>
          <w:color w:val="000000"/>
          <w:szCs w:val="22"/>
        </w:rPr>
        <w:t>FABRIQUE D'ÉGLISE SAINT-LAMBERT DE LA PAROISSE DE POUSSET - BUDGET 2026.</w:t>
      </w:r>
    </w:p>
    <w:p w14:paraId="220C0987"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33B62B1D" w14:textId="229B131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impérial du 30 décembre 1809 relatif aux Fabriques d’Eglise ; </w:t>
      </w:r>
    </w:p>
    <w:p w14:paraId="26403315" w14:textId="323809C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loi du 4 mars 1870 sur le Temporal des cultes en son article 8 ; </w:t>
      </w:r>
    </w:p>
    <w:p w14:paraId="45DB34B0" w14:textId="2ADB3E5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ainsi que les diverses dispositions relatives à la tutelle sur les actes des établissements chargés de la gestion du temporel des cultes ; </w:t>
      </w:r>
    </w:p>
    <w:p w14:paraId="438E81EA" w14:textId="37F3EB9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13 mars 2014 modifiant les dispositions légales en la matière ; </w:t>
      </w:r>
    </w:p>
    <w:p w14:paraId="19B087A4" w14:textId="23A20B7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circulaire de Monsieur le Ministre FURLAN en charge de la gestion du temporel des cultes reconnus, en date du 12 décembre 2014 ; </w:t>
      </w:r>
    </w:p>
    <w:p w14:paraId="3B4E5364" w14:textId="1A9DFD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le budget 2026 de la Fabrique d’église Saint-Lambert de Pousset, reçu le 17 octobre 2025, se clôture comme suit : </w:t>
      </w:r>
    </w:p>
    <w:p w14:paraId="46E207A8" w14:textId="3A118B0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       </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Recettes :  14.405,80 €uros</w:t>
      </w:r>
    </w:p>
    <w:p w14:paraId="684C9A2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Dépenses : -14.405,80 €uros</w:t>
      </w:r>
    </w:p>
    <w:p w14:paraId="5DC3FB5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428DA1D4" w14:textId="467C440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Excédent :        </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 0,00 €uro</w:t>
      </w:r>
    </w:p>
    <w:p w14:paraId="08A580B8" w14:textId="77777777"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Considérant le courrier de l’Evêché de Liège relatif au budget 2026 arrêtant et approuvant le budget sous réserve des corrections suivantes :</w:t>
      </w:r>
    </w:p>
    <w:p w14:paraId="5047C711" w14:textId="77777777"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D27 : entretien et réparation de l'église : 3.497,42 €au lieu de 3.500 € ; pour maintenir le budget à l'équilibre,</w:t>
      </w:r>
    </w:p>
    <w:p w14:paraId="6CACC82A" w14:textId="77777777"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D50h : sabam : 70,00 € au lieu de 68,00 € ; tarif 2026,</w:t>
      </w:r>
    </w:p>
    <w:p w14:paraId="69154D4D" w14:textId="56CE5130"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D52 : déficit présumé de l'exercice courant : 4.161,58 € au lieu de 4.161,00 €, erreur de retranscription, car le calcul de l'excédent de l'exercice précédent est correct. </w:t>
      </w:r>
    </w:p>
    <w:p w14:paraId="4573CDE0" w14:textId="440D7BF3" w:rsidR="0022723E" w:rsidRPr="00C51D72" w:rsidRDefault="003C36C7" w:rsidP="00D527FE">
      <w:pPr>
        <w:rPr>
          <w:rFonts w:ascii="Times New Roman" w:hAnsi="Times New Roman" w:cs="Times New Roman"/>
          <w:sz w:val="22"/>
          <w:szCs w:val="22"/>
        </w:rPr>
      </w:pPr>
      <w:r w:rsidRPr="00C51D72">
        <w:rPr>
          <w:rFonts w:ascii="Times New Roman" w:hAnsi="Times New Roman" w:cs="Times New Roman"/>
          <w:sz w:val="22"/>
          <w:szCs w:val="22"/>
        </w:rPr>
        <w:t>Par ces motifs ; </w:t>
      </w:r>
    </w:p>
    <w:p w14:paraId="5647389A" w14:textId="5458E72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68E7E7D3" w14:textId="71A7AC42" w:rsidR="0022723E" w:rsidRPr="00D527FE" w:rsidRDefault="003C36C7">
      <w:pPr>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 ; </w:t>
      </w:r>
      <w:r w:rsidRPr="00D527FE">
        <w:rPr>
          <w:rFonts w:ascii="Times New Roman" w:hAnsi="Times New Roman" w:cs="Times New Roman"/>
          <w:b/>
          <w:bCs/>
          <w:sz w:val="22"/>
          <w:szCs w:val="22"/>
        </w:rPr>
        <w:t> </w:t>
      </w:r>
    </w:p>
    <w:p w14:paraId="039C4915" w14:textId="488866EC" w:rsidR="0022723E" w:rsidRPr="00C51D72" w:rsidRDefault="003C36C7">
      <w:pPr>
        <w:pStyle w:val="whP2pod"/>
        <w:rPr>
          <w:rFonts w:ascii="Times New Roman" w:hAnsi="Times New Roman" w:cs="Times New Roman"/>
          <w:sz w:val="22"/>
          <w:szCs w:val="22"/>
        </w:rPr>
      </w:pPr>
      <w:r w:rsidRPr="00D527FE">
        <w:rPr>
          <w:rStyle w:val="whP5pod"/>
          <w:rFonts w:ascii="Times New Roman" w:hAnsi="Times New Roman" w:cs="Times New Roman"/>
          <w:b w:val="0"/>
          <w:bCs/>
          <w:sz w:val="22"/>
          <w:szCs w:val="22"/>
        </w:rPr>
        <w:t>Article 1 :</w:t>
      </w:r>
      <w:r w:rsidRPr="00D527FE">
        <w:rPr>
          <w:rFonts w:ascii="Times New Roman" w:hAnsi="Times New Roman" w:cs="Times New Roman"/>
          <w:b/>
          <w:bCs/>
          <w:sz w:val="22"/>
          <w:szCs w:val="22"/>
        </w:rPr>
        <w:t> </w:t>
      </w:r>
      <w:r w:rsidRPr="00D527FE">
        <w:rPr>
          <w:rStyle w:val="whP3pod"/>
          <w:rFonts w:ascii="Times New Roman" w:hAnsi="Times New Roman" w:cs="Times New Roman"/>
          <w:b w:val="0"/>
          <w:bCs/>
          <w:sz w:val="22"/>
          <w:szCs w:val="22"/>
        </w:rPr>
        <w:t>APPROUVE</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le budget 2026 de la Fabrique d’Eglise Saint-Lambert de Pousset, comme suit : </w:t>
      </w:r>
    </w:p>
    <w:p w14:paraId="1DAC6899" w14:textId="33E14AD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  Recettes :   14.405,80 €uros</w:t>
      </w:r>
    </w:p>
    <w:p w14:paraId="7A35715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Dépenses : -14.405,80 €uros</w:t>
      </w:r>
    </w:p>
    <w:p w14:paraId="6F4B47C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2CC2A759" w14:textId="7AF55DA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Excédent :       </w:t>
      </w:r>
      <w:r w:rsidR="00D527FE">
        <w:rPr>
          <w:rFonts w:ascii="Times New Roman" w:hAnsi="Times New Roman" w:cs="Times New Roman"/>
          <w:sz w:val="22"/>
          <w:szCs w:val="22"/>
        </w:rPr>
        <w:t xml:space="preserve">  </w:t>
      </w:r>
      <w:r w:rsidRPr="00C51D72">
        <w:rPr>
          <w:rFonts w:ascii="Times New Roman" w:hAnsi="Times New Roman" w:cs="Times New Roman"/>
          <w:sz w:val="22"/>
          <w:szCs w:val="22"/>
        </w:rPr>
        <w:t>  0,00 €uro </w:t>
      </w:r>
    </w:p>
    <w:p w14:paraId="4710F899" w14:textId="3217248A"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et ce, avec une participation financière communale, pour les frais ordinaires du Culte de 10.983,66 €uros ; </w:t>
      </w:r>
    </w:p>
    <w:p w14:paraId="711DF36D" w14:textId="77777777" w:rsidR="0022723E" w:rsidRPr="00C51D72" w:rsidRDefault="003C36C7">
      <w:pPr>
        <w:pStyle w:val="whP2pod"/>
        <w:rPr>
          <w:rFonts w:ascii="Times New Roman" w:hAnsi="Times New Roman" w:cs="Times New Roman"/>
          <w:sz w:val="22"/>
          <w:szCs w:val="22"/>
        </w:rPr>
      </w:pPr>
      <w:r w:rsidRPr="00D527FE">
        <w:rPr>
          <w:rStyle w:val="whP5pod"/>
          <w:rFonts w:ascii="Times New Roman" w:hAnsi="Times New Roman" w:cs="Times New Roman"/>
          <w:b w:val="0"/>
          <w:bCs/>
          <w:sz w:val="22"/>
          <w:szCs w:val="22"/>
        </w:rPr>
        <w:t>Article 2 :</w:t>
      </w:r>
      <w:r w:rsidRPr="00C51D72">
        <w:rPr>
          <w:rFonts w:ascii="Times New Roman" w:hAnsi="Times New Roman" w:cs="Times New Roman"/>
          <w:sz w:val="22"/>
          <w:szCs w:val="22"/>
        </w:rPr>
        <w:t> En application du décret du 13 mars 2014, un recours peut être introduit auprès de Monsieur le Gouverneur de la Province de Liège, dans les 30 jours de la réception de la décision du Conseil communal.</w:t>
      </w:r>
    </w:p>
    <w:p w14:paraId="25108161" w14:textId="77777777" w:rsidR="0022723E" w:rsidRPr="00C51D72" w:rsidRDefault="0022723E">
      <w:pPr>
        <w:rPr>
          <w:rFonts w:ascii="Times New Roman" w:hAnsi="Times New Roman" w:cs="Times New Roman"/>
          <w:sz w:val="22"/>
          <w:szCs w:val="22"/>
        </w:rPr>
      </w:pPr>
    </w:p>
    <w:p w14:paraId="0540258E" w14:textId="77777777" w:rsidR="0022723E" w:rsidRPr="00C51D72" w:rsidRDefault="0022723E">
      <w:pPr>
        <w:pStyle w:val="Titre2"/>
        <w:tabs>
          <w:tab w:val="left" w:pos="1020"/>
        </w:tabs>
        <w:spacing w:before="0" w:after="0"/>
        <w:ind w:left="510" w:hanging="510"/>
        <w:jc w:val="both"/>
        <w:rPr>
          <w:rFonts w:cs="Times New Roman"/>
          <w:color w:val="000000"/>
          <w:szCs w:val="22"/>
          <w:u w:val="none"/>
        </w:rPr>
      </w:pPr>
    </w:p>
    <w:p w14:paraId="08ED7EB9"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1A233349" w14:textId="77777777" w:rsidR="0022723E" w:rsidRPr="00C51D72" w:rsidRDefault="003C36C7">
      <w:pPr>
        <w:pStyle w:val="Titre2"/>
        <w:tabs>
          <w:tab w:val="left" w:pos="1020"/>
        </w:tabs>
        <w:spacing w:before="0" w:after="113"/>
        <w:ind w:left="510" w:hanging="510"/>
        <w:jc w:val="both"/>
        <w:rPr>
          <w:rFonts w:cs="Times New Roman"/>
          <w:szCs w:val="22"/>
        </w:rPr>
      </w:pPr>
      <w:bookmarkStart w:id="6" w:name="__RefHeading___Toc1768_34993492366"/>
      <w:bookmarkEnd w:id="6"/>
      <w:r w:rsidRPr="00C51D72">
        <w:rPr>
          <w:rFonts w:cs="Times New Roman"/>
          <w:color w:val="000000"/>
          <w:szCs w:val="22"/>
          <w:u w:val="none"/>
        </w:rPr>
        <w:lastRenderedPageBreak/>
        <w:t>7.</w:t>
      </w:r>
      <w:r w:rsidRPr="00C51D72">
        <w:rPr>
          <w:rFonts w:cs="Times New Roman"/>
          <w:color w:val="000000"/>
          <w:szCs w:val="22"/>
          <w:u w:val="none"/>
        </w:rPr>
        <w:tab/>
      </w:r>
      <w:r w:rsidRPr="00C51D72">
        <w:rPr>
          <w:rFonts w:cs="Times New Roman"/>
          <w:caps/>
          <w:color w:val="000000"/>
          <w:szCs w:val="22"/>
        </w:rPr>
        <w:t>CONSEIL DE POLICE LOCALE - MODIFICATION ET ÉLECTION D'UN CONSEILLER SUPPLÉANT AU CONSEIL DE POLICE.</w:t>
      </w:r>
    </w:p>
    <w:p w14:paraId="53733436"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D1572A3" w14:textId="3CE19D9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loi du 7 décembre 1998 organisant un service de police intégré, structuré à deux niveaux (LPI), en particulier l'article 18 qui prévoit que l'élection des membres du conseil de police a lieu le jour de la séance d'installation du conseil communal (le 2 décembre 2024 en Wallonie) ou dans les 10 jours qui suivent cette date ; </w:t>
      </w:r>
    </w:p>
    <w:p w14:paraId="0E4E7C59" w14:textId="7FB8561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Considérant que le conseil de police de la zone </w:t>
      </w:r>
      <w:r w:rsidR="00D527FE" w:rsidRPr="00C51D72">
        <w:rPr>
          <w:rFonts w:ascii="Times New Roman" w:hAnsi="Times New Roman" w:cs="Times New Roman"/>
          <w:sz w:val="22"/>
          <w:szCs w:val="22"/>
        </w:rPr>
        <w:t>pluri communale</w:t>
      </w:r>
      <w:r w:rsidRPr="00C51D72">
        <w:rPr>
          <w:rFonts w:ascii="Times New Roman" w:hAnsi="Times New Roman" w:cs="Times New Roman"/>
          <w:sz w:val="22"/>
          <w:szCs w:val="22"/>
        </w:rPr>
        <w:t> de Hesbaye est composé de 17 membres élus, conformément à l'article 12, alinéa 1er de la LPI ; </w:t>
      </w:r>
    </w:p>
    <w:p w14:paraId="00BE07E9" w14:textId="5DCBF6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délibération du conseil de police de la zone, en date du 12 septembre 2024, conformément à l'alinéa 4 de l'article 12 de la LPI, fixant le nombre de membres que compte chaque conseil communal au sein du conseil de police ; </w:t>
      </w:r>
    </w:p>
    <w:p w14:paraId="27FC473F" w14:textId="74BB16F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en conséquence que le conseil communal doit procéder à l'élection de 2 conseillers communaux au sein du conseil de police ; </w:t>
      </w:r>
    </w:p>
    <w:p w14:paraId="5A909DCC" w14:textId="486CAC2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chacun des 17 conseillers communaux dispose d'une voix, conformément à l'article 16 de la LPI (‘</w:t>
      </w:r>
      <w:r w:rsidRPr="00C51D72">
        <w:rPr>
          <w:rStyle w:val="whP4pod"/>
          <w:rFonts w:ascii="Times New Roman" w:hAnsi="Times New Roman" w:cs="Times New Roman"/>
          <w:sz w:val="22"/>
          <w:szCs w:val="22"/>
        </w:rPr>
        <w:t>chaque conseiller communal dispose d'une voix s'il y a moins de quatre membres à élire, de trois voix s'il y a quatre ou cinq membres à élire, de quatre s'il en y a six ou sept, de cinq s'il y en a huit ou neuf, de six s'il en a dix ou onze, et de huit s'il y a douze membres ou plus à élire</w:t>
      </w:r>
      <w:r w:rsidRPr="00C51D72">
        <w:rPr>
          <w:rFonts w:ascii="Times New Roman" w:hAnsi="Times New Roman" w:cs="Times New Roman"/>
          <w:sz w:val="22"/>
          <w:szCs w:val="22"/>
        </w:rPr>
        <w:t>’) ; </w:t>
      </w:r>
    </w:p>
    <w:p w14:paraId="6E0CB2E5" w14:textId="0C14B3B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actes de présentation, au nombre de 3, introduits conformément aux articles 2, 4 et 5 de l'arrêté royal du 20 décembre 2000, relatif à l'élection des membres du conseil de police dans chaque conseil communal ; </w:t>
      </w:r>
    </w:p>
    <w:p w14:paraId="13D4448C" w14:textId="113FA77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délibération du Conseil communal du 02 décembre 2024 procédant à l'élection des membres effectifs et suppléants du Conseil de Police, élisant Madame Sidonie AUGERAUX comme membre effectif et Madame Emeline DELHALLE comme membre suppléant pour le groupe RENOUVEAU, au Conseil de Police ; </w:t>
      </w:r>
    </w:p>
    <w:p w14:paraId="7DE4226C" w14:textId="520818E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délibération du Conseil communal du 25 septembre 2025 acceptant la démission de Madame Sidonie AUGERAUX en qualité de conseillère communale ; </w:t>
      </w:r>
    </w:p>
    <w:p w14:paraId="6D1E1D1B" w14:textId="1BAF66BA" w:rsidR="0022723E" w:rsidRPr="00C51D72" w:rsidRDefault="003C36C7" w:rsidP="00D527FE">
      <w:pPr>
        <w:pStyle w:val="whP2pod"/>
        <w:rPr>
          <w:rFonts w:ascii="Times New Roman" w:hAnsi="Times New Roman" w:cs="Times New Roman"/>
          <w:sz w:val="22"/>
          <w:szCs w:val="22"/>
        </w:rPr>
      </w:pPr>
      <w:r w:rsidRPr="00C51D72">
        <w:rPr>
          <w:rFonts w:ascii="Times New Roman" w:hAnsi="Times New Roman" w:cs="Times New Roman"/>
          <w:sz w:val="22"/>
          <w:szCs w:val="22"/>
        </w:rPr>
        <w:t>Vu le courriel de Madame Anne-Françoise HANNON-ZIEGELS, Conseillère communale &amp; Chef de groupe Renouveau, proposant la candidature de Monsieur Olivier ZELEZNIK, né le 17/08/1976, domicilié à 4350 Remicourt, rue de Liège, 19, Conseiller communal, en tant que membre suppléant ; </w:t>
      </w:r>
    </w:p>
    <w:p w14:paraId="7EB07853" w14:textId="3304B221" w:rsidR="0022723E" w:rsidRPr="00D527FE" w:rsidRDefault="003C36C7">
      <w:pPr>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w:t>
      </w:r>
      <w:r w:rsidRPr="00D527FE">
        <w:rPr>
          <w:rFonts w:ascii="Times New Roman" w:hAnsi="Times New Roman" w:cs="Times New Roman"/>
          <w:b/>
          <w:bCs/>
          <w:sz w:val="22"/>
          <w:szCs w:val="22"/>
        </w:rPr>
        <w:t> </w:t>
      </w:r>
    </w:p>
    <w:p w14:paraId="030FFD88" w14:textId="56327D8B" w:rsidR="0022723E" w:rsidRPr="00C51D72" w:rsidRDefault="003C36C7" w:rsidP="00D527FE">
      <w:pPr>
        <w:rPr>
          <w:rFonts w:ascii="Times New Roman" w:hAnsi="Times New Roman" w:cs="Times New Roman"/>
          <w:sz w:val="22"/>
          <w:szCs w:val="22"/>
        </w:rPr>
      </w:pPr>
      <w:r w:rsidRPr="00D527FE">
        <w:rPr>
          <w:rStyle w:val="whP3pod"/>
          <w:rFonts w:ascii="Times New Roman" w:hAnsi="Times New Roman" w:cs="Times New Roman"/>
          <w:b w:val="0"/>
          <w:bCs/>
          <w:sz w:val="22"/>
          <w:szCs w:val="22"/>
        </w:rPr>
        <w:t>DÉCIDE</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de voter le point à main levée. </w:t>
      </w:r>
    </w:p>
    <w:p w14:paraId="56DDC025" w14:textId="6A072A5D"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ÉTABLIT</w:t>
      </w:r>
      <w:r w:rsidRPr="00C51D72">
        <w:rPr>
          <w:rFonts w:ascii="Times New Roman" w:hAnsi="Times New Roman" w:cs="Times New Roman"/>
          <w:sz w:val="22"/>
          <w:szCs w:val="22"/>
        </w:rPr>
        <w:t> que les deux autres conseillers les moins âgés sont Emeline DELHALLE et Aline DEPAS et ils assistent le bourgmestre lors des opérations du recensement des voix, conformément à l'article 10 de l'arrêté royal ; </w:t>
      </w:r>
    </w:p>
    <w:p w14:paraId="5AB65DC1" w14:textId="2FF12F11"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PREND ACTE</w:t>
      </w:r>
      <w:r w:rsidRPr="00C51D72">
        <w:rPr>
          <w:rFonts w:ascii="Times New Roman" w:hAnsi="Times New Roman" w:cs="Times New Roman"/>
          <w:sz w:val="22"/>
          <w:szCs w:val="22"/>
        </w:rPr>
        <w:t xml:space="preserve"> que suite à la démission de Madame Sidonie AUGERAUX, Conseillère communale et membre effectif au Conseil de Police pour le groupe RENOUVEAU, Madame Emeline DELHALLE, Conseillère communale, élue membre suppléant du Conseil de Police pour le groupe RENOUVEAU lors du Conseil communal du 02 décembre 2024, devient de ce fait membre effectif au Conseil de Police. </w:t>
      </w:r>
    </w:p>
    <w:p w14:paraId="6ACD3FD0" w14:textId="52A76DA0"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VA PROCÉDER</w:t>
      </w:r>
      <w:r w:rsidRPr="00C51D72">
        <w:rPr>
          <w:rFonts w:ascii="Times New Roman" w:hAnsi="Times New Roman" w:cs="Times New Roman"/>
          <w:sz w:val="22"/>
          <w:szCs w:val="22"/>
        </w:rPr>
        <w:t>, en séance publique au vote à main levée, à l'élection du nouveau membre suppléant pour le groupe RENOUVEAU du conseil de police ; </w:t>
      </w:r>
    </w:p>
    <w:p w14:paraId="67C37AAE" w14:textId="7C2573C7" w:rsidR="0022723E" w:rsidRPr="00D527FE" w:rsidRDefault="003C36C7">
      <w:pPr>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w:t>
      </w:r>
      <w:r w:rsidRPr="00D527FE">
        <w:rPr>
          <w:rFonts w:ascii="Times New Roman" w:hAnsi="Times New Roman" w:cs="Times New Roman"/>
          <w:b/>
          <w:bCs/>
          <w:sz w:val="22"/>
          <w:szCs w:val="22"/>
        </w:rPr>
        <w:t> </w:t>
      </w:r>
    </w:p>
    <w:p w14:paraId="0FB9BE37" w14:textId="43D7A5A2" w:rsidR="0022723E" w:rsidRPr="00C51D72" w:rsidRDefault="003C36C7" w:rsidP="00D527FE">
      <w:pPr>
        <w:rPr>
          <w:rFonts w:ascii="Times New Roman" w:hAnsi="Times New Roman" w:cs="Times New Roman"/>
          <w:sz w:val="22"/>
          <w:szCs w:val="22"/>
        </w:rPr>
      </w:pPr>
      <w:r w:rsidRPr="00D527FE">
        <w:rPr>
          <w:rStyle w:val="whP3pod"/>
          <w:rFonts w:ascii="Times New Roman" w:hAnsi="Times New Roman" w:cs="Times New Roman"/>
          <w:b w:val="0"/>
          <w:bCs/>
          <w:sz w:val="22"/>
          <w:szCs w:val="22"/>
        </w:rPr>
        <w:t>CONSTATE</w:t>
      </w:r>
      <w:r w:rsidRPr="00C51D72">
        <w:rPr>
          <w:rFonts w:ascii="Times New Roman" w:hAnsi="Times New Roman" w:cs="Times New Roman"/>
          <w:sz w:val="22"/>
          <w:szCs w:val="22"/>
        </w:rPr>
        <w:t> que les suffrages au vote à main levée ont été exprimés au nom du candidat membre suppléant selon les règles ; </w:t>
      </w:r>
    </w:p>
    <w:tbl>
      <w:tblPr>
        <w:tblW w:w="10154" w:type="dxa"/>
        <w:tblInd w:w="51" w:type="dxa"/>
        <w:tblLayout w:type="fixed"/>
        <w:tblCellMar>
          <w:left w:w="0" w:type="dxa"/>
          <w:right w:w="0" w:type="dxa"/>
        </w:tblCellMar>
        <w:tblLook w:val="04A0" w:firstRow="1" w:lastRow="0" w:firstColumn="1" w:lastColumn="0" w:noHBand="0" w:noVBand="1"/>
      </w:tblPr>
      <w:tblGrid>
        <w:gridCol w:w="5369"/>
        <w:gridCol w:w="4785"/>
      </w:tblGrid>
      <w:tr w:rsidR="0022723E" w:rsidRPr="00C51D72" w14:paraId="34C7BE83" w14:textId="77777777">
        <w:trPr>
          <w:tblHeader/>
        </w:trPr>
        <w:tc>
          <w:tcPr>
            <w:tcW w:w="5369" w:type="dxa"/>
            <w:tcBorders>
              <w:top w:val="single" w:sz="2" w:space="0" w:color="000000"/>
              <w:left w:val="single" w:sz="2" w:space="0" w:color="000000"/>
              <w:bottom w:val="single" w:sz="2" w:space="0" w:color="000000"/>
              <w:right w:val="single" w:sz="2" w:space="0" w:color="000000"/>
            </w:tcBorders>
          </w:tcPr>
          <w:p w14:paraId="63C30551" w14:textId="77777777" w:rsidR="0022723E" w:rsidRPr="00D527FE" w:rsidRDefault="003C36C7">
            <w:pPr>
              <w:pStyle w:val="whP7pod"/>
              <w:rPr>
                <w:rFonts w:ascii="Times New Roman" w:hAnsi="Times New Roman" w:cs="Times New Roman"/>
                <w:b/>
                <w:bCs/>
                <w:sz w:val="22"/>
                <w:szCs w:val="22"/>
              </w:rPr>
            </w:pPr>
            <w:r w:rsidRPr="00D527FE">
              <w:rPr>
                <w:rStyle w:val="whP13pod"/>
                <w:rFonts w:ascii="Times New Roman" w:hAnsi="Times New Roman" w:cs="Times New Roman"/>
                <w:b w:val="0"/>
                <w:bCs/>
                <w:sz w:val="22"/>
                <w:szCs w:val="22"/>
              </w:rPr>
              <w:t>Sont membres effectifs du conseil de police</w:t>
            </w:r>
          </w:p>
        </w:tc>
        <w:tc>
          <w:tcPr>
            <w:tcW w:w="4785" w:type="dxa"/>
            <w:tcBorders>
              <w:top w:val="single" w:sz="2" w:space="0" w:color="000000"/>
              <w:left w:val="single" w:sz="2" w:space="0" w:color="000000"/>
              <w:bottom w:val="single" w:sz="2" w:space="0" w:color="000000"/>
              <w:right w:val="single" w:sz="2" w:space="0" w:color="000000"/>
            </w:tcBorders>
          </w:tcPr>
          <w:p w14:paraId="4BAFDD40" w14:textId="77777777" w:rsidR="0022723E" w:rsidRPr="00D527FE" w:rsidRDefault="003C36C7">
            <w:pPr>
              <w:pStyle w:val="whP7pod"/>
              <w:rPr>
                <w:rFonts w:ascii="Times New Roman" w:hAnsi="Times New Roman" w:cs="Times New Roman"/>
                <w:b/>
                <w:bCs/>
                <w:sz w:val="22"/>
                <w:szCs w:val="22"/>
              </w:rPr>
            </w:pPr>
            <w:r w:rsidRPr="00D527FE">
              <w:rPr>
                <w:rStyle w:val="whP13pod"/>
                <w:rFonts w:ascii="Times New Roman" w:hAnsi="Times New Roman" w:cs="Times New Roman"/>
                <w:b w:val="0"/>
                <w:bCs/>
                <w:sz w:val="22"/>
                <w:szCs w:val="22"/>
              </w:rPr>
              <w:t>Les candidats présentés ) titre de suppléants pour chaque membre effectif élu mentionné ci-contre, sont, de plein droit et dans l'ordre de l'acte de présentation, suppléants de ces membres effectifs élus</w:t>
            </w:r>
          </w:p>
        </w:tc>
      </w:tr>
      <w:tr w:rsidR="0022723E" w:rsidRPr="00C51D72" w14:paraId="1F015204" w14:textId="77777777">
        <w:tc>
          <w:tcPr>
            <w:tcW w:w="5369" w:type="dxa"/>
            <w:tcBorders>
              <w:top w:val="single" w:sz="2" w:space="0" w:color="000000"/>
              <w:left w:val="single" w:sz="2" w:space="0" w:color="000000"/>
              <w:bottom w:val="single" w:sz="2" w:space="0" w:color="000000"/>
              <w:right w:val="single" w:sz="2" w:space="0" w:color="000000"/>
            </w:tcBorders>
          </w:tcPr>
          <w:p w14:paraId="6DE46E65"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DELHALLE Emeline</w:t>
            </w:r>
          </w:p>
        </w:tc>
        <w:tc>
          <w:tcPr>
            <w:tcW w:w="4785" w:type="dxa"/>
            <w:tcBorders>
              <w:top w:val="single" w:sz="2" w:space="0" w:color="000000"/>
              <w:left w:val="single" w:sz="2" w:space="0" w:color="000000"/>
              <w:bottom w:val="single" w:sz="2" w:space="0" w:color="000000"/>
              <w:right w:val="single" w:sz="2" w:space="0" w:color="000000"/>
            </w:tcBorders>
          </w:tcPr>
          <w:p w14:paraId="6F6C0B7B" w14:textId="77777777" w:rsidR="0022723E" w:rsidRPr="00C51D72" w:rsidRDefault="003C36C7">
            <w:pPr>
              <w:pStyle w:val="podNumberItem"/>
              <w:numPr>
                <w:ilvl w:val="0"/>
                <w:numId w:val="7"/>
              </w:numPr>
              <w:tabs>
                <w:tab w:val="left" w:pos="922"/>
              </w:tabs>
              <w:rPr>
                <w:rFonts w:ascii="Times New Roman" w:hAnsi="Times New Roman" w:cs="Times New Roman"/>
                <w:sz w:val="22"/>
                <w:szCs w:val="22"/>
              </w:rPr>
            </w:pPr>
            <w:r w:rsidRPr="00C51D72">
              <w:rPr>
                <w:rFonts w:ascii="Times New Roman" w:hAnsi="Times New Roman" w:cs="Times New Roman"/>
                <w:sz w:val="22"/>
                <w:szCs w:val="22"/>
              </w:rPr>
              <w:t>ZELEZNIK Olivier</w:t>
            </w:r>
          </w:p>
        </w:tc>
      </w:tr>
      <w:tr w:rsidR="0022723E" w:rsidRPr="00C51D72" w14:paraId="5B28B4F5" w14:textId="77777777">
        <w:tc>
          <w:tcPr>
            <w:tcW w:w="5369" w:type="dxa"/>
            <w:tcBorders>
              <w:top w:val="single" w:sz="2" w:space="0" w:color="000000"/>
              <w:left w:val="single" w:sz="2" w:space="0" w:color="000000"/>
              <w:bottom w:val="single" w:sz="2" w:space="0" w:color="000000"/>
              <w:right w:val="single" w:sz="2" w:space="0" w:color="000000"/>
            </w:tcBorders>
          </w:tcPr>
          <w:p w14:paraId="10B41F53"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DEPAS Gisèle</w:t>
            </w:r>
          </w:p>
        </w:tc>
        <w:tc>
          <w:tcPr>
            <w:tcW w:w="4785" w:type="dxa"/>
            <w:tcBorders>
              <w:top w:val="single" w:sz="2" w:space="0" w:color="000000"/>
              <w:left w:val="single" w:sz="2" w:space="0" w:color="000000"/>
              <w:bottom w:val="single" w:sz="2" w:space="0" w:color="000000"/>
              <w:right w:val="single" w:sz="2" w:space="0" w:color="000000"/>
            </w:tcBorders>
          </w:tcPr>
          <w:p w14:paraId="69226BA5" w14:textId="77777777" w:rsidR="0022723E" w:rsidRPr="00C51D72" w:rsidRDefault="003C36C7">
            <w:pPr>
              <w:pStyle w:val="podNumberItem"/>
              <w:numPr>
                <w:ilvl w:val="0"/>
                <w:numId w:val="9"/>
              </w:numPr>
              <w:tabs>
                <w:tab w:val="left" w:pos="922"/>
              </w:tabs>
              <w:rPr>
                <w:rFonts w:ascii="Times New Roman" w:hAnsi="Times New Roman" w:cs="Times New Roman"/>
                <w:sz w:val="22"/>
                <w:szCs w:val="22"/>
              </w:rPr>
            </w:pPr>
            <w:r w:rsidRPr="00C51D72">
              <w:rPr>
                <w:rFonts w:ascii="Times New Roman" w:hAnsi="Times New Roman" w:cs="Times New Roman"/>
                <w:sz w:val="22"/>
                <w:szCs w:val="22"/>
              </w:rPr>
              <w:t>de MARNEFFE Véronique</w:t>
            </w:r>
          </w:p>
          <w:p w14:paraId="6888977E" w14:textId="77777777" w:rsidR="0022723E" w:rsidRPr="00C51D72" w:rsidRDefault="003C36C7">
            <w:pPr>
              <w:pStyle w:val="podNumberItem"/>
              <w:numPr>
                <w:ilvl w:val="0"/>
                <w:numId w:val="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SEUTIN René</w:t>
            </w:r>
          </w:p>
        </w:tc>
      </w:tr>
    </w:tbl>
    <w:p w14:paraId="0AC4B6CA" w14:textId="0FC1B6C0"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CONSTATE</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que la condition d'éligibilité est remplie par le candidat suppléant du groupe RENOUVEAU ; </w:t>
      </w:r>
    </w:p>
    <w:p w14:paraId="56088976" w14:textId="158C9DD3" w:rsidR="0022723E" w:rsidRPr="00C51D72" w:rsidRDefault="003C36C7">
      <w:pPr>
        <w:pStyle w:val="whP2pod"/>
        <w:rPr>
          <w:rFonts w:ascii="Times New Roman" w:hAnsi="Times New Roman" w:cs="Times New Roman"/>
          <w:sz w:val="22"/>
          <w:szCs w:val="22"/>
        </w:rPr>
      </w:pPr>
      <w:r w:rsidRPr="00D527FE">
        <w:rPr>
          <w:rStyle w:val="whP3pod"/>
          <w:rFonts w:ascii="Times New Roman" w:hAnsi="Times New Roman" w:cs="Times New Roman"/>
          <w:b w:val="0"/>
          <w:bCs/>
          <w:sz w:val="22"/>
          <w:szCs w:val="22"/>
        </w:rPr>
        <w:t>CONSTATE</w:t>
      </w:r>
      <w:r w:rsidRPr="00C51D72">
        <w:rPr>
          <w:rFonts w:ascii="Times New Roman" w:hAnsi="Times New Roman" w:cs="Times New Roman"/>
          <w:sz w:val="22"/>
          <w:szCs w:val="22"/>
        </w:rPr>
        <w:t> qu'aucun membre effectif ne se trouve dans un des cas d'incompatibilité précisés à l'article 15 de la LPI ; </w:t>
      </w:r>
    </w:p>
    <w:p w14:paraId="0E0B8D25" w14:textId="4E8F525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procès-verbal sera envoyé en deux exemplaires au collège provincial, conformément à l'article 18bis de la LPI et à l'article 15 de l'arrêté royal, en y joignant les bulletins de vote et tous les documents probants. </w:t>
      </w:r>
    </w:p>
    <w:p w14:paraId="6C328148" w14:textId="3586EC7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procès-verbal sera envoyé à la zone de police.                </w:t>
      </w:r>
    </w:p>
    <w:p w14:paraId="57D03468"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697755B7" w14:textId="77777777" w:rsidR="0022723E" w:rsidRPr="00C51D72" w:rsidRDefault="003C36C7">
      <w:pPr>
        <w:pStyle w:val="Titre2"/>
        <w:tabs>
          <w:tab w:val="left" w:pos="1020"/>
        </w:tabs>
        <w:spacing w:before="0" w:after="113"/>
        <w:ind w:left="510" w:hanging="510"/>
        <w:jc w:val="both"/>
        <w:rPr>
          <w:rFonts w:cs="Times New Roman"/>
          <w:szCs w:val="22"/>
        </w:rPr>
      </w:pPr>
      <w:bookmarkStart w:id="7" w:name="__RefHeading___Toc1768_34993492367"/>
      <w:bookmarkEnd w:id="7"/>
      <w:r w:rsidRPr="00C51D72">
        <w:rPr>
          <w:rFonts w:cs="Times New Roman"/>
          <w:color w:val="000000"/>
          <w:szCs w:val="22"/>
          <w:u w:val="none"/>
        </w:rPr>
        <w:t>8.</w:t>
      </w:r>
      <w:r w:rsidRPr="00C51D72">
        <w:rPr>
          <w:rFonts w:cs="Times New Roman"/>
          <w:color w:val="000000"/>
          <w:szCs w:val="22"/>
          <w:u w:val="none"/>
        </w:rPr>
        <w:tab/>
      </w:r>
      <w:r w:rsidRPr="00C51D72">
        <w:rPr>
          <w:rFonts w:cs="Times New Roman"/>
          <w:caps/>
          <w:color w:val="000000"/>
          <w:szCs w:val="22"/>
        </w:rPr>
        <w:t>TAXE ADDITIONNELLE COMMUNALE À L'IMPÔT DES PERSONNES PHYSIQUES - EXERCICE 2026.</w:t>
      </w:r>
    </w:p>
    <w:p w14:paraId="222048D1"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5B3BDB62" w14:textId="142AADF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 4 ; </w:t>
      </w:r>
    </w:p>
    <w:p w14:paraId="427E7496" w14:textId="44614FB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Vu le décret du 14 décembre 2000 (M.B. 18.1.2001) et la loi du 24 juin 2000 (M.B. 23.9.2004, éd. 2) portant assentiment de la Charte européenne de l'autonomie locale, notamment l'article 9.1. de la Charte ; </w:t>
      </w:r>
    </w:p>
    <w:p w14:paraId="4FBF044C" w14:textId="643C485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loi du 13 avril 2019 introduisant le Code du recouvrement amiable et forcé des créances fiscales et non fiscales, ; </w:t>
      </w:r>
    </w:p>
    <w:p w14:paraId="2927EEA0" w14:textId="77B1280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L3122-2, 7° selon lequel la délibération communale relative à la taxe additionnelle à l’impôt des personnes physiques fait à présent l’objet de la tutelle générale d’annulation avec transmission obligatoire ; </w:t>
      </w:r>
    </w:p>
    <w:p w14:paraId="4A846AF5" w14:textId="62593AE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taxes communales ; </w:t>
      </w:r>
    </w:p>
    <w:p w14:paraId="304C4B36" w14:textId="1435B02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budgétaire du 11 septembre.2025 relative à l’élaboration du budget des communes de la Région wallonne pour l'année 2026 ; </w:t>
      </w:r>
    </w:p>
    <w:p w14:paraId="42BCFF0E" w14:textId="6AB266E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situation financière de la Commune ; </w:t>
      </w:r>
    </w:p>
    <w:p w14:paraId="55C18752" w14:textId="5923B83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en date du 29 octobre 2025 ; </w:t>
      </w:r>
    </w:p>
    <w:p w14:paraId="21553747" w14:textId="4A5EE43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0A325965" w14:textId="3565910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29CF26B1" w14:textId="1478C5B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ces motifs ; </w:t>
      </w:r>
    </w:p>
    <w:p w14:paraId="6B42048B" w14:textId="78456B45"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 ;</w:t>
      </w:r>
      <w:r w:rsidRPr="00D527FE">
        <w:rPr>
          <w:rFonts w:ascii="Times New Roman" w:hAnsi="Times New Roman" w:cs="Times New Roman"/>
          <w:b/>
          <w:bCs/>
          <w:sz w:val="22"/>
          <w:szCs w:val="22"/>
        </w:rPr>
        <w:t> </w:t>
      </w:r>
    </w:p>
    <w:p w14:paraId="6A489D11" w14:textId="1A3130F4"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ARRÊTE :</w:t>
      </w:r>
      <w:r w:rsidRPr="00D527FE">
        <w:rPr>
          <w:rFonts w:ascii="Times New Roman" w:hAnsi="Times New Roman" w:cs="Times New Roman"/>
          <w:b/>
          <w:bCs/>
          <w:sz w:val="22"/>
          <w:szCs w:val="22"/>
        </w:rPr>
        <w:t> </w:t>
      </w:r>
    </w:p>
    <w:p w14:paraId="6EC36F70" w14:textId="6C2FAFEB"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Fonts w:ascii="Times New Roman" w:hAnsi="Times New Roman" w:cs="Times New Roman"/>
          <w:sz w:val="22"/>
          <w:szCs w:val="22"/>
        </w:rPr>
        <w:t> : Il est établi, pour l’exercice 2026, une taxe additionnelle à l’impôt des personnes physiques à charge des habitants du Royaume qui sont imposables dans la Commune au 1er janvier de l’année qui donne son nom à cet exercice. </w:t>
      </w:r>
    </w:p>
    <w:p w14:paraId="6D8C7FD2" w14:textId="7C7CBBCF"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2 :</w:t>
      </w:r>
      <w:r w:rsidRPr="00C51D72">
        <w:rPr>
          <w:rFonts w:ascii="Times New Roman" w:hAnsi="Times New Roman" w:cs="Times New Roman"/>
          <w:sz w:val="22"/>
          <w:szCs w:val="22"/>
        </w:rPr>
        <w:t xml:space="preserve"> Le taux de cette taxe est fixé, pour tous les contribuables, à</w:t>
      </w:r>
      <w:r w:rsidRPr="00C51D72">
        <w:rPr>
          <w:rStyle w:val="whP3pod"/>
          <w:rFonts w:ascii="Times New Roman" w:hAnsi="Times New Roman" w:cs="Times New Roman"/>
          <w:sz w:val="22"/>
          <w:szCs w:val="22"/>
        </w:rPr>
        <w:t> </w:t>
      </w:r>
      <w:r w:rsidRPr="00D527FE">
        <w:rPr>
          <w:rStyle w:val="whP3pod"/>
          <w:rFonts w:ascii="Times New Roman" w:hAnsi="Times New Roman" w:cs="Times New Roman"/>
          <w:b w:val="0"/>
          <w:bCs/>
          <w:sz w:val="22"/>
          <w:szCs w:val="22"/>
        </w:rPr>
        <w:t>8 %</w:t>
      </w:r>
      <w:r w:rsidRPr="00C51D72">
        <w:rPr>
          <w:rFonts w:ascii="Times New Roman" w:hAnsi="Times New Roman" w:cs="Times New Roman"/>
          <w:sz w:val="22"/>
          <w:szCs w:val="22"/>
        </w:rPr>
        <w:t> de la partie calculée conformément, au Code des impôts sur les revenus de l’impôt des personnes physiques dû à l’Etat pour le même exercice. </w:t>
      </w:r>
    </w:p>
    <w:p w14:paraId="0FAEBF2E" w14:textId="583DF4B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L’établissement et la perception de la présente taxe communale s’effectueront par les soins de l’Administration des Contributions directes, comme il est stipulé à l’article 469 du Code des impôts sur les revenus 1992. </w:t>
      </w:r>
    </w:p>
    <w:p w14:paraId="2E804C08" w14:textId="5BE164A5"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 :</w:t>
      </w:r>
      <w:r w:rsidRPr="00C51D72">
        <w:rPr>
          <w:rFonts w:ascii="Times New Roman" w:hAnsi="Times New Roman" w:cs="Times New Roman"/>
          <w:sz w:val="22"/>
          <w:szCs w:val="22"/>
        </w:rPr>
        <w:t> Le recouvrement de cette taxe sera effectué par l’Administration des contributions directes, comme le prescrit le Code des Impôts sur les Revenus et le Code du recouvrement amiable et forcé des créances fiscales et non fiscales. </w:t>
      </w:r>
    </w:p>
    <w:p w14:paraId="738A5D11" w14:textId="70DF042D"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Article 4 : </w:t>
      </w:r>
      <w:r w:rsidRPr="00C51D72">
        <w:rPr>
          <w:rFonts w:ascii="Times New Roman" w:hAnsi="Times New Roman" w:cs="Times New Roman"/>
          <w:sz w:val="22"/>
          <w:szCs w:val="22"/>
        </w:rPr>
        <w:t>La présente délibération sera transmise au Gouvernement Wallon conformément aux articles L3122-2 dans le cadre de la tutelle générale d’annulation à transmission obligatoire. </w:t>
      </w:r>
    </w:p>
    <w:p w14:paraId="5C6F96EF" w14:textId="1E6DF58B" w:rsidR="0022723E" w:rsidRPr="00C51D72" w:rsidRDefault="003C36C7" w:rsidP="00D527FE">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t>Article 5</w:t>
      </w:r>
      <w:r w:rsidRPr="00C51D72">
        <w:rPr>
          <w:rFonts w:ascii="Times New Roman" w:hAnsi="Times New Roman" w:cs="Times New Roman"/>
          <w:sz w:val="22"/>
          <w:szCs w:val="22"/>
        </w:rPr>
        <w:t> : Le présent règlement entrera en vigueur après accomplissement des formalités de la transmission obligatoire au Gouvernement wallon et de la publication faites conformément aux articles L1133-1 et 2 du Code de la démocratie locale et de la décentralisation.</w:t>
      </w:r>
    </w:p>
    <w:p w14:paraId="3FFE2BA9"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14DDCE42" w14:textId="77777777" w:rsidR="0022723E" w:rsidRPr="00C51D72" w:rsidRDefault="003C36C7">
      <w:pPr>
        <w:pStyle w:val="Titre2"/>
        <w:tabs>
          <w:tab w:val="left" w:pos="1020"/>
        </w:tabs>
        <w:spacing w:before="0" w:after="113"/>
        <w:ind w:left="510" w:hanging="510"/>
        <w:jc w:val="both"/>
        <w:rPr>
          <w:rFonts w:cs="Times New Roman"/>
          <w:szCs w:val="22"/>
        </w:rPr>
      </w:pPr>
      <w:bookmarkStart w:id="8" w:name="__RefHeading___Toc1768_34993492368"/>
      <w:bookmarkEnd w:id="8"/>
      <w:r w:rsidRPr="00C51D72">
        <w:rPr>
          <w:rFonts w:cs="Times New Roman"/>
          <w:color w:val="000000"/>
          <w:szCs w:val="22"/>
          <w:u w:val="none"/>
        </w:rPr>
        <w:t>9.</w:t>
      </w:r>
      <w:r w:rsidRPr="00C51D72">
        <w:rPr>
          <w:rFonts w:cs="Times New Roman"/>
          <w:color w:val="000000"/>
          <w:szCs w:val="22"/>
          <w:u w:val="none"/>
        </w:rPr>
        <w:tab/>
      </w:r>
      <w:r w:rsidRPr="00C51D72">
        <w:rPr>
          <w:rFonts w:cs="Times New Roman"/>
          <w:caps/>
          <w:color w:val="000000"/>
          <w:szCs w:val="22"/>
        </w:rPr>
        <w:t>CENTIMES ADDITIONNELS AU PRÉCOMPTE IMMOBILIER - EXERCICE 2026.</w:t>
      </w:r>
    </w:p>
    <w:p w14:paraId="1C3E87FB"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04918E40" w14:textId="7B719F3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 4 ; </w:t>
      </w:r>
    </w:p>
    <w:p w14:paraId="403F2707" w14:textId="50F643B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des impôts sur les revenus '92, les articles 464/1.1° et 249 à 256 ; </w:t>
      </w:r>
    </w:p>
    <w:p w14:paraId="26CFAF41" w14:textId="1290C6F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06 mai 1999 relatif à l'établissement, au recouvrement et au contentieux en matière de taxes régionales wallonnes ; </w:t>
      </w:r>
    </w:p>
    <w:p w14:paraId="27713ED0" w14:textId="572E5C8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52045F97" w14:textId="28A1977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l’article L3122-2,7° selon lequel la délibération communale relative aux centimes additionnels au précompte immobilier fait à présent l’objet de la tutelle générale d’annulation avec transmission obligatoire ;  </w:t>
      </w:r>
    </w:p>
    <w:p w14:paraId="3A2E990E" w14:textId="5A3C8EF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des impôts sur les revenus 1992, notamment les articles 249 à 256 et 464,1° ; </w:t>
      </w:r>
    </w:p>
    <w:p w14:paraId="6263544C" w14:textId="60447DC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budgétaire du 11 septembre 2025 relative à l’élaboration du budget des communes de la Région wallonne pour l'année 2026 ; </w:t>
      </w:r>
    </w:p>
    <w:p w14:paraId="4E2EBC9C" w14:textId="3E9B21E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023A608C" w14:textId="60705B21"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en date du 29 octobre 2025 ; </w:t>
      </w:r>
    </w:p>
    <w:p w14:paraId="6DCB5754" w14:textId="5164F461"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7C07981C" w14:textId="28FFFC9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5FE3FA00" w14:textId="7F89EE0A"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 ;</w:t>
      </w:r>
      <w:r w:rsidRPr="00D527FE">
        <w:rPr>
          <w:rFonts w:ascii="Times New Roman" w:hAnsi="Times New Roman" w:cs="Times New Roman"/>
          <w:b/>
          <w:bCs/>
          <w:sz w:val="22"/>
          <w:szCs w:val="22"/>
        </w:rPr>
        <w:t> </w:t>
      </w:r>
    </w:p>
    <w:p w14:paraId="7A849BE6" w14:textId="697DF6E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ces motifs ; </w:t>
      </w:r>
    </w:p>
    <w:p w14:paraId="42F84529" w14:textId="207522AE"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ARRÊTE :</w:t>
      </w:r>
      <w:r w:rsidRPr="00D527FE">
        <w:rPr>
          <w:rFonts w:ascii="Times New Roman" w:hAnsi="Times New Roman" w:cs="Times New Roman"/>
          <w:b/>
          <w:bCs/>
          <w:sz w:val="22"/>
          <w:szCs w:val="22"/>
        </w:rPr>
        <w:t> </w:t>
      </w:r>
    </w:p>
    <w:p w14:paraId="49820744" w14:textId="48C03A3D"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Fonts w:ascii="Times New Roman" w:hAnsi="Times New Roman" w:cs="Times New Roman"/>
          <w:sz w:val="22"/>
          <w:szCs w:val="22"/>
        </w:rPr>
        <w:t> : Il est établi, pour l’exercice 2026,</w:t>
      </w:r>
      <w:r w:rsidRPr="00C51D72">
        <w:rPr>
          <w:rStyle w:val="whP3pod"/>
          <w:rFonts w:ascii="Times New Roman" w:hAnsi="Times New Roman" w:cs="Times New Roman"/>
          <w:sz w:val="22"/>
          <w:szCs w:val="22"/>
        </w:rPr>
        <w:t> </w:t>
      </w:r>
      <w:r w:rsidRPr="00D527FE">
        <w:rPr>
          <w:rStyle w:val="whP3pod"/>
          <w:rFonts w:ascii="Times New Roman" w:hAnsi="Times New Roman" w:cs="Times New Roman"/>
          <w:b w:val="0"/>
          <w:bCs/>
          <w:sz w:val="22"/>
          <w:szCs w:val="22"/>
        </w:rPr>
        <w:t>2.500 centimes additionnels communaux</w:t>
      </w:r>
      <w:r w:rsidRPr="00C51D72">
        <w:rPr>
          <w:rFonts w:ascii="Times New Roman" w:hAnsi="Times New Roman" w:cs="Times New Roman"/>
          <w:sz w:val="22"/>
          <w:szCs w:val="22"/>
        </w:rPr>
        <w:t xml:space="preserve"> au précompte immobilier.</w:t>
      </w:r>
    </w:p>
    <w:p w14:paraId="1C5D9F9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3547035C" w14:textId="11870583"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lastRenderedPageBreak/>
        <w:t>Article 2 :</w:t>
      </w:r>
      <w:r w:rsidRPr="00C51D72">
        <w:rPr>
          <w:rFonts w:ascii="Times New Roman" w:hAnsi="Times New Roman" w:cs="Times New Roman"/>
          <w:sz w:val="22"/>
          <w:szCs w:val="22"/>
        </w:rPr>
        <w:t xml:space="preserve"> Le recouvrement de cette taxe sera effectué par le Service public de Wallonie comme le prescrit le Code des Impôts sur les Revenus et le décret du 6 mai 1999 relatif à l'établissement, au recouvrement et au contentieux en matière de taxes régionales wallonnes.  </w:t>
      </w:r>
    </w:p>
    <w:p w14:paraId="66F70D9F" w14:textId="03EB33C8"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Article 3 : </w:t>
      </w:r>
      <w:r w:rsidRPr="00C51D72">
        <w:rPr>
          <w:rFonts w:ascii="Times New Roman" w:hAnsi="Times New Roman" w:cs="Times New Roman"/>
          <w:sz w:val="22"/>
          <w:szCs w:val="22"/>
        </w:rPr>
        <w:t>Le présent règlement sera transmis au Gouvernement wallon pour exercice de la tutelle générale d’annulation à transmission obligatoire conformément à l’article L3122-2 du Code de la démocratie locale et de la décentralisation. </w:t>
      </w:r>
    </w:p>
    <w:p w14:paraId="639FC1AC" w14:textId="1494AF37" w:rsidR="0022723E" w:rsidRPr="00C51D72" w:rsidRDefault="003C36C7" w:rsidP="00D527FE">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 La présente délibération sera publiée conformément aux articles L1133-1 et L1133-2 du Code de la Démocratie Locale et de la Décentralisation. Le présent règlement de taxe entre en vigueur dès le premier jour de sa publication.</w:t>
      </w:r>
    </w:p>
    <w:p w14:paraId="02D5CCC3"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5F1D102E" w14:textId="77777777" w:rsidR="0022723E" w:rsidRPr="00C51D72" w:rsidRDefault="003C36C7">
      <w:pPr>
        <w:pStyle w:val="Titre2"/>
        <w:tabs>
          <w:tab w:val="left" w:pos="1020"/>
        </w:tabs>
        <w:spacing w:before="0" w:after="113"/>
        <w:ind w:left="510" w:hanging="510"/>
        <w:jc w:val="both"/>
        <w:rPr>
          <w:rFonts w:cs="Times New Roman"/>
          <w:szCs w:val="22"/>
        </w:rPr>
      </w:pPr>
      <w:bookmarkStart w:id="9" w:name="__RefHeading___Toc1768_34993492369"/>
      <w:bookmarkEnd w:id="9"/>
      <w:r w:rsidRPr="00C51D72">
        <w:rPr>
          <w:rFonts w:cs="Times New Roman"/>
          <w:color w:val="000000"/>
          <w:szCs w:val="22"/>
          <w:u w:val="none"/>
        </w:rPr>
        <w:t>10.</w:t>
      </w:r>
      <w:r w:rsidRPr="00C51D72">
        <w:rPr>
          <w:rFonts w:cs="Times New Roman"/>
          <w:color w:val="000000"/>
          <w:szCs w:val="22"/>
          <w:u w:val="none"/>
        </w:rPr>
        <w:tab/>
      </w:r>
      <w:r w:rsidRPr="00C51D72">
        <w:rPr>
          <w:rFonts w:cs="Times New Roman"/>
          <w:caps/>
          <w:color w:val="000000"/>
          <w:szCs w:val="22"/>
        </w:rPr>
        <w:t>TAUX DE COUVERTURE DES COÛTS EN MATIÈRE DE DÉCHETS DES MÉNAGES, CALCULÉ SUR BASE DU BUDGET 2026.</w:t>
      </w:r>
    </w:p>
    <w:p w14:paraId="7902AF85"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4C00AD8" w14:textId="2712970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27 juin 1996 tel que modifié en date du 22 mars 2007 et relatif, notamment, à la répercussion directe des coûts de gestion des déchets résultant de l’activité usuelle des ménages ; </w:t>
      </w:r>
    </w:p>
    <w:p w14:paraId="0A250D2F" w14:textId="0F392E1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Revu sa délibération du 06 novembre 2024 relative à l'établissement d'un règlement taxe sur la gestion des déchets ; </w:t>
      </w:r>
    </w:p>
    <w:p w14:paraId="64602BD3" w14:textId="1FAA82A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les Communes ont l'obligation d'imputer la totalité des coûts de gestion des déchets résultant de l'activité usuelle des ménages dont elle a la charge aux bénéficiaires et d'appliquer le principe d'une facturation transparente qui reprend les éléments constitutifs de ce coût ; </w:t>
      </w:r>
    </w:p>
    <w:p w14:paraId="79E4BC98" w14:textId="6B61EC2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la fourchette du taux de couverture à respecter en matière de gestion de déchets des ménages doit se situer en 95% et 110% pour l'exercice 2026, conformément à l'article 21 du Décret du 27 juin 1996 relatif aux déchets ; </w:t>
      </w:r>
    </w:p>
    <w:p w14:paraId="572419B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note relative au calcul du taux de couverture des coûts en matière de déchets ménagers, laquelle se solde, pour le budget 2026, comme suit :</w:t>
      </w:r>
    </w:p>
    <w:p w14:paraId="1EFB5D1F" w14:textId="77777777" w:rsidR="0022723E" w:rsidRPr="00C51D72" w:rsidRDefault="003C36C7">
      <w:pPr>
        <w:pStyle w:val="whP14pod"/>
        <w:tabs>
          <w:tab w:val="left" w:pos="922"/>
        </w:tabs>
        <w:rPr>
          <w:rFonts w:ascii="Times New Roman" w:hAnsi="Times New Roman" w:cs="Times New Roman"/>
          <w:sz w:val="22"/>
          <w:szCs w:val="22"/>
        </w:rPr>
      </w:pPr>
      <w:r w:rsidRPr="00C51D72">
        <w:rPr>
          <w:rFonts w:ascii="Times New Roman" w:hAnsi="Times New Roman" w:cs="Times New Roman"/>
          <w:sz w:val="22"/>
          <w:szCs w:val="22"/>
        </w:rPr>
        <w:t>Somme des recettes prévisionnelles : 499.436,88 €</w:t>
      </w:r>
    </w:p>
    <w:p w14:paraId="2C30275C" w14:textId="77777777" w:rsidR="0022723E" w:rsidRPr="00C51D72" w:rsidRDefault="003C36C7">
      <w:pPr>
        <w:pStyle w:val="whP14pod"/>
        <w:tabs>
          <w:tab w:val="left" w:pos="922"/>
        </w:tabs>
        <w:rPr>
          <w:rFonts w:ascii="Times New Roman" w:hAnsi="Times New Roman" w:cs="Times New Roman"/>
          <w:sz w:val="22"/>
          <w:szCs w:val="22"/>
        </w:rPr>
      </w:pPr>
      <w:r w:rsidRPr="00C51D72">
        <w:rPr>
          <w:rFonts w:ascii="Times New Roman" w:hAnsi="Times New Roman" w:cs="Times New Roman"/>
          <w:sz w:val="22"/>
          <w:szCs w:val="22"/>
        </w:rPr>
        <w:t>Somme des dépenses prévisionnelles : 474.580,49 €</w:t>
      </w:r>
    </w:p>
    <w:p w14:paraId="3C2B9912" w14:textId="344AE66F" w:rsidR="0022723E" w:rsidRPr="00D527FE" w:rsidRDefault="003C36C7" w:rsidP="00D527FE">
      <w:pPr>
        <w:pStyle w:val="whP14pod"/>
        <w:tabs>
          <w:tab w:val="left" w:pos="922"/>
        </w:tabs>
        <w:rPr>
          <w:rFonts w:ascii="Times New Roman" w:hAnsi="Times New Roman" w:cs="Times New Roman"/>
          <w:sz w:val="22"/>
          <w:szCs w:val="22"/>
        </w:rPr>
      </w:pPr>
      <w:r w:rsidRPr="00D527FE">
        <w:rPr>
          <w:rFonts w:ascii="Times New Roman" w:hAnsi="Times New Roman" w:cs="Times New Roman"/>
          <w:sz w:val="22"/>
          <w:szCs w:val="22"/>
        </w:rPr>
        <w:t>Taux de couverture du coût-vérité : 105 % </w:t>
      </w:r>
    </w:p>
    <w:p w14:paraId="5071FDAC" w14:textId="3876FB8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4A3AEF07" w14:textId="479D3826" w:rsidR="0022723E" w:rsidRPr="00D527FE" w:rsidRDefault="003C36C7">
      <w:pPr>
        <w:pStyle w:val="whP2pod"/>
        <w:rPr>
          <w:rFonts w:ascii="Times New Roman" w:hAnsi="Times New Roman" w:cs="Times New Roman"/>
          <w:b/>
          <w:bCs/>
          <w:sz w:val="22"/>
          <w:szCs w:val="22"/>
        </w:rPr>
      </w:pPr>
      <w:r w:rsidRPr="00D527FE">
        <w:rPr>
          <w:rStyle w:val="whP3pod"/>
          <w:rFonts w:ascii="Times New Roman" w:hAnsi="Times New Roman" w:cs="Times New Roman"/>
          <w:b w:val="0"/>
          <w:bCs/>
          <w:sz w:val="22"/>
          <w:szCs w:val="22"/>
        </w:rPr>
        <w:t>À l'unanimité,</w:t>
      </w:r>
      <w:r w:rsidRPr="00D527FE">
        <w:rPr>
          <w:rFonts w:ascii="Times New Roman" w:hAnsi="Times New Roman" w:cs="Times New Roman"/>
          <w:b/>
          <w:bCs/>
          <w:sz w:val="22"/>
          <w:szCs w:val="22"/>
        </w:rPr>
        <w:t> </w:t>
      </w:r>
    </w:p>
    <w:p w14:paraId="3A2C9C5B" w14:textId="45EE26E2" w:rsidR="0022723E" w:rsidRPr="00C51D72" w:rsidRDefault="003C36C7" w:rsidP="00D527FE">
      <w:pPr>
        <w:pStyle w:val="whP2pod"/>
        <w:rPr>
          <w:rFonts w:ascii="Times New Roman" w:hAnsi="Times New Roman" w:cs="Times New Roman"/>
          <w:color w:val="000000"/>
          <w:sz w:val="22"/>
          <w:szCs w:val="22"/>
        </w:rPr>
      </w:pPr>
      <w:r w:rsidRPr="00D527FE">
        <w:rPr>
          <w:rStyle w:val="whP3pod"/>
          <w:rFonts w:ascii="Times New Roman" w:hAnsi="Times New Roman" w:cs="Times New Roman"/>
          <w:b w:val="0"/>
          <w:bCs/>
          <w:sz w:val="22"/>
          <w:szCs w:val="22"/>
        </w:rPr>
        <w:t>ARRÊTE</w:t>
      </w:r>
      <w:r w:rsidRPr="00C51D72">
        <w:rPr>
          <w:rFonts w:ascii="Times New Roman" w:hAnsi="Times New Roman" w:cs="Times New Roman"/>
          <w:sz w:val="22"/>
          <w:szCs w:val="22"/>
        </w:rPr>
        <w:t xml:space="preserve"> le taux de couverture des coûts en matière de déchets des ménages calculé sur base du budget 2026 à 105 %.</w:t>
      </w:r>
    </w:p>
    <w:p w14:paraId="5C7721A1"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6151FDC5" w14:textId="77777777" w:rsidR="0022723E" w:rsidRPr="00C51D72" w:rsidRDefault="003C36C7">
      <w:pPr>
        <w:pStyle w:val="Titre2"/>
        <w:tabs>
          <w:tab w:val="left" w:pos="1020"/>
        </w:tabs>
        <w:spacing w:before="0" w:after="113"/>
        <w:ind w:left="510" w:hanging="510"/>
        <w:jc w:val="both"/>
        <w:rPr>
          <w:rFonts w:cs="Times New Roman"/>
          <w:szCs w:val="22"/>
        </w:rPr>
      </w:pPr>
      <w:bookmarkStart w:id="10" w:name="__RefHeading___Toc1768_349934923610"/>
      <w:bookmarkEnd w:id="10"/>
      <w:r w:rsidRPr="00C51D72">
        <w:rPr>
          <w:rFonts w:cs="Times New Roman"/>
          <w:color w:val="000000"/>
          <w:szCs w:val="22"/>
          <w:u w:val="none"/>
        </w:rPr>
        <w:t>11.</w:t>
      </w:r>
      <w:r w:rsidRPr="00C51D72">
        <w:rPr>
          <w:rFonts w:cs="Times New Roman"/>
          <w:color w:val="000000"/>
          <w:szCs w:val="22"/>
          <w:u w:val="none"/>
        </w:rPr>
        <w:tab/>
      </w:r>
      <w:r w:rsidRPr="00C51D72">
        <w:rPr>
          <w:rFonts w:cs="Times New Roman"/>
          <w:caps/>
          <w:color w:val="000000"/>
          <w:szCs w:val="22"/>
        </w:rPr>
        <w:t>RÈGLEMENT ÉTABLISSANT UNE TAXE COMMUNALE SUR LA GESTION DES DÉCHETS - EXERCICE 2026.</w:t>
      </w:r>
    </w:p>
    <w:p w14:paraId="21815811"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2BDFA1AE" w14:textId="5C56741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41,162, 173 et 190 ; </w:t>
      </w:r>
    </w:p>
    <w:p w14:paraId="6957D777" w14:textId="7BB11F0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 </w:t>
      </w:r>
    </w:p>
    <w:p w14:paraId="7CD91B16" w14:textId="54FF321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 </w:t>
      </w:r>
    </w:p>
    <w:p w14:paraId="4E3D2F77" w14:textId="5D32911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2D762384" w14:textId="77F6458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27 juin 1996 relatif aux déchets et ses arrêtés d’exécution ; </w:t>
      </w:r>
    </w:p>
    <w:p w14:paraId="51063DA3" w14:textId="3DD5274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taxes communales ; </w:t>
      </w:r>
    </w:p>
    <w:p w14:paraId="3E5A2081" w14:textId="3550984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et des CPAS de la Région wallonne, à l’exception des communes et des CPAS relevant des communes de la Communauté germanophone, pour l’année 2026 ; </w:t>
      </w:r>
    </w:p>
    <w:p w14:paraId="1C1DD4E9" w14:textId="6FEF7CB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5120582D" w14:textId="519061E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délibération du Conseil communal du 06 novembre 2025 relative au taux de couverture des coûts en matière des déchets des ménages, calculé sur base du budget 2026 ; </w:t>
      </w:r>
    </w:p>
    <w:p w14:paraId="152512DB" w14:textId="2B08CAA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Revu sa délibération du 06 novembre 2024 établissant une taxe communale sur la gestion des déchets, à partir du 01 janvier 2025 ; </w:t>
      </w:r>
    </w:p>
    <w:p w14:paraId="216D2CF2" w14:textId="0B52A26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en application de l’article L1124-40 §1, 3° du CDLD, l’avis du Directeur financier a été sollicité en date du 29 octobre 2025 ; que le Directeur financier a rendu un avis favorable en date du 03 novembre 2025 ; </w:t>
      </w:r>
    </w:p>
    <w:p w14:paraId="6F583741" w14:textId="7C2C7B44"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Par ces motifs, </w:t>
      </w:r>
    </w:p>
    <w:p w14:paraId="64392B43" w14:textId="5181CE99"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56E63EF4" w14:textId="7BDF96D3" w:rsidR="0022723E" w:rsidRPr="00C51D72" w:rsidRDefault="003C36C7">
      <w:pPr>
        <w:pStyle w:val="whP2pod"/>
        <w:rPr>
          <w:rFonts w:ascii="Times New Roman" w:hAnsi="Times New Roman" w:cs="Times New Roman"/>
          <w:sz w:val="22"/>
          <w:szCs w:val="22"/>
        </w:rPr>
      </w:pPr>
      <w:r w:rsidRPr="00A361B7">
        <w:rPr>
          <w:rStyle w:val="whP3pod"/>
          <w:rFonts w:ascii="Times New Roman" w:hAnsi="Times New Roman" w:cs="Times New Roman"/>
          <w:b w:val="0"/>
          <w:bCs/>
          <w:sz w:val="22"/>
          <w:szCs w:val="22"/>
        </w:rPr>
        <w:lastRenderedPageBreak/>
        <w:t>Par 9 voix Pour et 6 voix Contre</w:t>
      </w:r>
      <w:r w:rsidRPr="00C51D72">
        <w:rPr>
          <w:rStyle w:val="whP3pod"/>
          <w:rFonts w:ascii="Times New Roman" w:hAnsi="Times New Roman" w:cs="Times New Roman"/>
          <w:sz w:val="22"/>
          <w:szCs w:val="22"/>
        </w:rPr>
        <w:t> </w:t>
      </w:r>
      <w:r w:rsidRPr="00C51D72">
        <w:rPr>
          <w:rStyle w:val="whP4pod"/>
          <w:rFonts w:ascii="Times New Roman" w:hAnsi="Times New Roman" w:cs="Times New Roman"/>
          <w:sz w:val="22"/>
          <w:szCs w:val="22"/>
        </w:rPr>
        <w:t>(Mesdames Anne-Françoise HANNON-ZIEGELS, Emeline DELHALLE, Aline DEPAS, Géraldine LEVOISIN, Kimberley GERKENS et Monsieur Olivier ZELEZNIK, Conseillers communaux) ;</w:t>
      </w:r>
      <w:r w:rsidRPr="00C51D72">
        <w:rPr>
          <w:rFonts w:ascii="Times New Roman" w:hAnsi="Times New Roman" w:cs="Times New Roman"/>
          <w:sz w:val="22"/>
          <w:szCs w:val="22"/>
        </w:rPr>
        <w:t> </w:t>
      </w:r>
    </w:p>
    <w:p w14:paraId="4CCB42AD" w14:textId="4BAA1549" w:rsidR="0022723E" w:rsidRPr="00C51D72" w:rsidRDefault="003C36C7">
      <w:pPr>
        <w:pStyle w:val="whP2pod"/>
        <w:rPr>
          <w:rFonts w:ascii="Times New Roman" w:hAnsi="Times New Roman" w:cs="Times New Roman"/>
          <w:sz w:val="22"/>
          <w:szCs w:val="22"/>
        </w:rPr>
      </w:pPr>
      <w:r w:rsidRPr="00A361B7">
        <w:rPr>
          <w:rStyle w:val="whP3pod"/>
          <w:rFonts w:ascii="Times New Roman" w:hAnsi="Times New Roman" w:cs="Times New Roman"/>
          <w:b w:val="0"/>
          <w:bCs/>
          <w:sz w:val="22"/>
          <w:szCs w:val="22"/>
        </w:rPr>
        <w:t>ARRÊTE</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le règlement établissant une taxe communale sur la gestion des déchets pour l'exercice 2026 comme suit : </w:t>
      </w:r>
    </w:p>
    <w:p w14:paraId="561F6D02" w14:textId="56FF7C71" w:rsidR="0022723E" w:rsidRPr="00A361B7" w:rsidRDefault="003C36C7" w:rsidP="00D527FE">
      <w:pPr>
        <w:pStyle w:val="whP15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TITRE 1 - DÉFINITIONS</w:t>
      </w:r>
      <w:r w:rsidRPr="00A361B7">
        <w:rPr>
          <w:rFonts w:ascii="Times New Roman" w:hAnsi="Times New Roman" w:cs="Times New Roman"/>
          <w:b/>
          <w:bCs/>
          <w:sz w:val="22"/>
          <w:szCs w:val="22"/>
        </w:rPr>
        <w:t> </w:t>
      </w:r>
    </w:p>
    <w:p w14:paraId="0EA5D61F"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1.</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Déchets ménagers</w:t>
      </w:r>
    </w:p>
    <w:p w14:paraId="1F5F83D0" w14:textId="2255DC9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déchets ménagers (ou ordures ménagères) sont les déchets provenant de l’activité usuelle des ménages. </w:t>
      </w:r>
    </w:p>
    <w:p w14:paraId="2E508E77"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2.</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Déchets organiques</w:t>
      </w:r>
    </w:p>
    <w:p w14:paraId="4B477515" w14:textId="52FD132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déchets organiques consistent en la fraction compostable ou biométhanisable des ordures ménagères brutes. </w:t>
      </w:r>
    </w:p>
    <w:p w14:paraId="0F637BE7"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3.</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Déchets ménagers résiduels</w:t>
      </w:r>
    </w:p>
    <w:p w14:paraId="4B8DC7C3" w14:textId="51D5A2A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déchets ménagers résiduels (ou ordures ménagères résiduelles) sont la part des déchets ménagers qui reste après les collectes sélectives (organiques, emballages, etc.). </w:t>
      </w:r>
    </w:p>
    <w:p w14:paraId="19356194"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4.</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Déchets assimilés</w:t>
      </w:r>
    </w:p>
    <w:p w14:paraId="380412CE" w14:textId="0BCCC8F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déchets assimilés sont des déchets similaires aux déchets ménagers en raison de leur nature ou de leur composition et qui proviennent des administrations, des bureaux, des collectivités, des petits commerces et indépendants. </w:t>
      </w:r>
    </w:p>
    <w:p w14:paraId="63028AF0" w14:textId="4A457FD8" w:rsidR="0022723E" w:rsidRPr="00A361B7" w:rsidRDefault="003C36C7" w:rsidP="00D527FE">
      <w:pPr>
        <w:pStyle w:val="whP15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TITRE 2 - PRINCIPES</w:t>
      </w:r>
      <w:r w:rsidRPr="00A361B7">
        <w:rPr>
          <w:rFonts w:ascii="Times New Roman" w:hAnsi="Times New Roman" w:cs="Times New Roman"/>
          <w:b/>
          <w:bCs/>
          <w:sz w:val="22"/>
          <w:szCs w:val="22"/>
        </w:rPr>
        <w:t> </w:t>
      </w:r>
    </w:p>
    <w:p w14:paraId="51C39645" w14:textId="67466772"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unique</w:t>
      </w:r>
      <w:r w:rsidRPr="00C51D72">
        <w:rPr>
          <w:rStyle w:val="whP1pod"/>
          <w:rFonts w:ascii="Times New Roman" w:hAnsi="Times New Roman" w:cs="Times New Roman"/>
          <w:sz w:val="22"/>
          <w:szCs w:val="22"/>
        </w:rPr>
        <w:t>.</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Il est établi, au profit de la Commune pour l’exercice 2026, une taxe communale annuelle sur la collecte et sur le traitement des déchets issus de l’activité usuelle des ménages et assimilés. </w:t>
      </w:r>
    </w:p>
    <w:p w14:paraId="66050C36" w14:textId="12FB626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comprend une partie forfaitaire et une partie proportionnelle, en fonction du poids des déchets déposés à la collecte et du nombre de levées du ou des conteneurs. </w:t>
      </w:r>
    </w:p>
    <w:p w14:paraId="567D45BA" w14:textId="7FD66B76" w:rsidR="0022723E" w:rsidRPr="00A361B7" w:rsidRDefault="003C36C7" w:rsidP="00A361B7">
      <w:pPr>
        <w:pStyle w:val="whP15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TITRE 3 - TAXE : Partie forfaitaire</w:t>
      </w:r>
      <w:r w:rsidRPr="00A361B7">
        <w:rPr>
          <w:rFonts w:ascii="Times New Roman" w:hAnsi="Times New Roman" w:cs="Times New Roman"/>
          <w:b/>
          <w:bCs/>
          <w:sz w:val="22"/>
          <w:szCs w:val="22"/>
        </w:rPr>
        <w:t> </w:t>
      </w:r>
    </w:p>
    <w:p w14:paraId="1EE8C35E"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1.</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Taxe forfaitaire pour les ménages</w:t>
      </w:r>
    </w:p>
    <w:p w14:paraId="0B871C99" w14:textId="50FB933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partie forfaitaire de la taxe est due solidairement par les membres de tout ménage inscrit au registre de la population, au registre des étrangers ou recensés comme seconds résidents au 1er janvier de l’exercice d’imposition. Elle est établie au nom du chef de ménage. Il y a lieu d’entendre par « ménage », soit une personne vivant seule, soit deux ou plusieurs personnes qui, unies ou non par le mariage ou la parenté, occupent ensemble un même logement. </w:t>
      </w:r>
    </w:p>
    <w:p w14:paraId="5960C49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partie forfaitaire comprend :</w:t>
      </w:r>
    </w:p>
    <w:p w14:paraId="7062B8BB" w14:textId="77777777" w:rsidR="0022723E" w:rsidRPr="00C51D72" w:rsidRDefault="003C36C7">
      <w:pPr>
        <w:pStyle w:val="whP14pod"/>
        <w:numPr>
          <w:ilvl w:val="0"/>
          <w:numId w:val="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 collecte des PMC et des papiers-cartons toutes les 2 semaines ;</w:t>
      </w:r>
    </w:p>
    <w:p w14:paraId="1655E302" w14:textId="77777777" w:rsidR="0022723E" w:rsidRPr="00C51D72" w:rsidRDefault="003C36C7">
      <w:pPr>
        <w:pStyle w:val="whP14pod"/>
        <w:numPr>
          <w:ilvl w:val="0"/>
          <w:numId w:val="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L’accès au réseau de recyparcs et aux bulles à verre ;</w:t>
      </w:r>
    </w:p>
    <w:p w14:paraId="77F28DFA" w14:textId="77777777" w:rsidR="0022723E" w:rsidRPr="00C51D72" w:rsidRDefault="003C36C7">
      <w:pPr>
        <w:pStyle w:val="whP14pod"/>
        <w:numPr>
          <w:ilvl w:val="0"/>
          <w:numId w:val="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 mise à disposition des conteneurs/sacs conformes et des sacs PMC ;</w:t>
      </w:r>
    </w:p>
    <w:p w14:paraId="2F3DB040" w14:textId="77777777" w:rsidR="0022723E" w:rsidRPr="00C51D72" w:rsidRDefault="003C36C7">
      <w:pPr>
        <w:pStyle w:val="whP14pod"/>
        <w:numPr>
          <w:ilvl w:val="0"/>
          <w:numId w:val="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Le traitement de 50 kg d’ordures ménagères résiduelles par habitant ;</w:t>
      </w:r>
    </w:p>
    <w:p w14:paraId="6C9F479C" w14:textId="77777777" w:rsidR="0022723E" w:rsidRPr="00C51D72" w:rsidRDefault="003C36C7">
      <w:pPr>
        <w:pStyle w:val="whP14pod"/>
        <w:numPr>
          <w:ilvl w:val="0"/>
          <w:numId w:val="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Le traitement de 25 kg de déchets organiques par habitant ;</w:t>
      </w:r>
    </w:p>
    <w:p w14:paraId="358B2D00" w14:textId="77777777" w:rsidR="0022723E" w:rsidRPr="00C51D72" w:rsidRDefault="003C36C7">
      <w:pPr>
        <w:pStyle w:val="whP14pod"/>
        <w:numPr>
          <w:ilvl w:val="0"/>
          <w:numId w:val="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Un nombre illimité de vidange du conteneur pour les papiers-cartons ;</w:t>
      </w:r>
    </w:p>
    <w:p w14:paraId="31C453DA" w14:textId="495F8622" w:rsidR="0022723E" w:rsidRPr="00D527FE" w:rsidRDefault="003C36C7" w:rsidP="00D527FE">
      <w:pPr>
        <w:pStyle w:val="whP14pod"/>
        <w:numPr>
          <w:ilvl w:val="0"/>
          <w:numId w:val="2"/>
        </w:numPr>
        <w:tabs>
          <w:tab w:val="left" w:pos="922"/>
        </w:tabs>
        <w:rPr>
          <w:rFonts w:ascii="Times New Roman" w:hAnsi="Times New Roman" w:cs="Times New Roman"/>
          <w:sz w:val="22"/>
          <w:szCs w:val="22"/>
        </w:rPr>
      </w:pPr>
      <w:r w:rsidRPr="00D527FE">
        <w:rPr>
          <w:rFonts w:ascii="Times New Roman" w:hAnsi="Times New Roman" w:cs="Times New Roman"/>
          <w:sz w:val="22"/>
          <w:szCs w:val="22"/>
        </w:rPr>
        <w:t>30 vidanges des conteneurs, sans distinction de la fraction résiduelle et des déchets organiques. </w:t>
      </w:r>
    </w:p>
    <w:p w14:paraId="53D19DC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taux de la taxe forfaitaire est fixé à :</w:t>
      </w:r>
    </w:p>
    <w:p w14:paraId="2B9F7F84" w14:textId="77777777" w:rsidR="0022723E" w:rsidRPr="00C51D72" w:rsidRDefault="003C36C7">
      <w:pPr>
        <w:pStyle w:val="whP14pod"/>
        <w:numPr>
          <w:ilvl w:val="0"/>
          <w:numId w:val="10"/>
        </w:numPr>
        <w:tabs>
          <w:tab w:val="left" w:pos="922"/>
        </w:tabs>
        <w:rPr>
          <w:rFonts w:ascii="Times New Roman" w:hAnsi="Times New Roman" w:cs="Times New Roman"/>
          <w:sz w:val="22"/>
          <w:szCs w:val="22"/>
        </w:rPr>
      </w:pPr>
      <w:r w:rsidRPr="00C51D72">
        <w:rPr>
          <w:rFonts w:ascii="Times New Roman" w:hAnsi="Times New Roman" w:cs="Times New Roman"/>
          <w:sz w:val="22"/>
          <w:szCs w:val="22"/>
        </w:rPr>
        <w:t>Pour un isolé : 75,00€</w:t>
      </w:r>
    </w:p>
    <w:p w14:paraId="20EBADB7" w14:textId="77777777" w:rsidR="0022723E" w:rsidRPr="00C51D72" w:rsidRDefault="003C36C7">
      <w:pPr>
        <w:pStyle w:val="whP14pod"/>
        <w:numPr>
          <w:ilvl w:val="0"/>
          <w:numId w:val="10"/>
        </w:numPr>
        <w:tabs>
          <w:tab w:val="left" w:pos="922"/>
        </w:tabs>
        <w:rPr>
          <w:rFonts w:ascii="Times New Roman" w:hAnsi="Times New Roman" w:cs="Times New Roman"/>
          <w:sz w:val="22"/>
          <w:szCs w:val="22"/>
        </w:rPr>
      </w:pPr>
      <w:r w:rsidRPr="00C51D72">
        <w:rPr>
          <w:rFonts w:ascii="Times New Roman" w:hAnsi="Times New Roman" w:cs="Times New Roman"/>
          <w:sz w:val="22"/>
          <w:szCs w:val="22"/>
        </w:rPr>
        <w:t>Pour un ménage constitué de 2 personnes : 140,00€</w:t>
      </w:r>
    </w:p>
    <w:p w14:paraId="5CF988EF" w14:textId="303ED3E2" w:rsidR="0022723E" w:rsidRPr="00D527FE" w:rsidRDefault="003C36C7" w:rsidP="00D527FE">
      <w:pPr>
        <w:pStyle w:val="whP14pod"/>
        <w:numPr>
          <w:ilvl w:val="0"/>
          <w:numId w:val="10"/>
        </w:numPr>
        <w:tabs>
          <w:tab w:val="left" w:pos="922"/>
        </w:tabs>
        <w:rPr>
          <w:rFonts w:ascii="Times New Roman" w:hAnsi="Times New Roman" w:cs="Times New Roman"/>
          <w:sz w:val="22"/>
          <w:szCs w:val="22"/>
        </w:rPr>
      </w:pPr>
      <w:r w:rsidRPr="00D527FE">
        <w:rPr>
          <w:rFonts w:ascii="Times New Roman" w:hAnsi="Times New Roman" w:cs="Times New Roman"/>
          <w:sz w:val="22"/>
          <w:szCs w:val="22"/>
        </w:rPr>
        <w:t>Pour un ménage constitué de 3 personnes ou plus : 193,00€ </w:t>
      </w:r>
    </w:p>
    <w:p w14:paraId="6C072D1C"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2.</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 xml:space="preserve">Taxe forfaitaire pour les assimilés </w:t>
      </w:r>
    </w:p>
    <w:p w14:paraId="2E17B9D5" w14:textId="75535E9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forfaitaire est due par toute personne physique ou morale et, solidairement, par les membres de toute association exerçant une activité à caractère lucratif ou non (commerciale, industrielle ou autre) et occupant, à quelque fin que ce soit, tout ou partie d’immeuble situé sur le territoire de la Commune. </w:t>
      </w:r>
    </w:p>
    <w:p w14:paraId="56EC54A2" w14:textId="1A5FB5D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taux de la taxe forfaitaire est fixé à 26,00€/an pour une vidange par semaine et la mise à disposition du conteneur. </w:t>
      </w:r>
    </w:p>
    <w:p w14:paraId="4377A690"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3.</w:t>
      </w:r>
      <w:r w:rsidRPr="00A361B7">
        <w:rPr>
          <w:rStyle w:val="whP3pod"/>
          <w:rFonts w:ascii="Times New Roman" w:hAnsi="Times New Roman" w:cs="Times New Roman"/>
          <w:b w:val="0"/>
          <w:bCs/>
          <w:sz w:val="22"/>
          <w:szCs w:val="22"/>
        </w:rPr>
        <w:t xml:space="preserve"> - </w:t>
      </w:r>
      <w:r w:rsidRPr="00A361B7">
        <w:rPr>
          <w:rStyle w:val="whP1pod"/>
          <w:rFonts w:ascii="Times New Roman" w:hAnsi="Times New Roman" w:cs="Times New Roman"/>
          <w:b w:val="0"/>
          <w:bCs/>
          <w:sz w:val="22"/>
          <w:szCs w:val="22"/>
        </w:rPr>
        <w:t>Principes et exonérations</w:t>
      </w:r>
    </w:p>
    <w:p w14:paraId="3D4AE01D" w14:textId="64D0F3B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forfaitaire est calculée par année, la domiciliation ou la résidence au 1er janvier de l’exercice d'imposition étant seule prise en considération. Le paiement se fera en une seule fois. </w:t>
      </w:r>
    </w:p>
    <w:p w14:paraId="049A026E" w14:textId="3F22AD2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Sont exonérés de la partie forfaitaire : les services d’utilité publique de la Commune (administration, écoles, police, CPAS, cimetières, ...). </w:t>
      </w:r>
    </w:p>
    <w:p w14:paraId="194DB165" w14:textId="3059FD80" w:rsidR="0022723E" w:rsidRPr="00A361B7" w:rsidRDefault="003C36C7" w:rsidP="00D527FE">
      <w:pPr>
        <w:pStyle w:val="whP15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TITRE 4 - TAXE : Partie proportionnelle</w:t>
      </w:r>
      <w:r w:rsidRPr="00A361B7">
        <w:rPr>
          <w:rFonts w:ascii="Times New Roman" w:hAnsi="Times New Roman" w:cs="Times New Roman"/>
          <w:b/>
          <w:bCs/>
          <w:sz w:val="22"/>
          <w:szCs w:val="22"/>
        </w:rPr>
        <w:t> </w:t>
      </w:r>
    </w:p>
    <w:p w14:paraId="549B3201"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1. – Principes</w:t>
      </w:r>
    </w:p>
    <w:p w14:paraId="60DA20A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proportionnelle est une taxe annuelle qui varie :</w:t>
      </w:r>
    </w:p>
    <w:p w14:paraId="2B24CEFD" w14:textId="77777777" w:rsidR="0022723E" w:rsidRPr="00C51D72" w:rsidRDefault="003C36C7">
      <w:pPr>
        <w:pStyle w:val="whP14pod"/>
        <w:numPr>
          <w:ilvl w:val="0"/>
          <w:numId w:val="11"/>
        </w:numPr>
        <w:tabs>
          <w:tab w:val="left" w:pos="922"/>
        </w:tabs>
        <w:rPr>
          <w:rFonts w:ascii="Times New Roman" w:hAnsi="Times New Roman" w:cs="Times New Roman"/>
          <w:sz w:val="22"/>
          <w:szCs w:val="22"/>
        </w:rPr>
      </w:pPr>
      <w:r w:rsidRPr="00C51D72">
        <w:rPr>
          <w:rFonts w:ascii="Times New Roman" w:hAnsi="Times New Roman" w:cs="Times New Roman"/>
          <w:sz w:val="22"/>
          <w:szCs w:val="22"/>
        </w:rPr>
        <w:t>Selon le poids des immondices mis à la collecte : pour tout kilo de déchets ménagers au-delà de 50 kg/hab/an et pour tout kilo de déchets organiques au-delà de 25 kg/hab/an ;</w:t>
      </w:r>
    </w:p>
    <w:p w14:paraId="4168E4DD" w14:textId="33C0DE1F" w:rsidR="0022723E" w:rsidRPr="00D527FE" w:rsidRDefault="003C36C7" w:rsidP="00D527FE">
      <w:pPr>
        <w:pStyle w:val="whP14pod"/>
        <w:numPr>
          <w:ilvl w:val="0"/>
          <w:numId w:val="11"/>
        </w:numPr>
        <w:tabs>
          <w:tab w:val="left" w:pos="922"/>
        </w:tabs>
        <w:rPr>
          <w:rFonts w:ascii="Times New Roman" w:hAnsi="Times New Roman" w:cs="Times New Roman"/>
          <w:sz w:val="22"/>
          <w:szCs w:val="22"/>
        </w:rPr>
      </w:pPr>
      <w:r w:rsidRPr="00D527FE">
        <w:rPr>
          <w:rFonts w:ascii="Times New Roman" w:hAnsi="Times New Roman" w:cs="Times New Roman"/>
          <w:sz w:val="22"/>
          <w:szCs w:val="22"/>
        </w:rPr>
        <w:t>Selon la fréquence de dépôt du/des conteneur(s), au-delà de 30 levées (sans distinction de la fraction résiduelle et des déchets organiques). </w:t>
      </w:r>
    </w:p>
    <w:p w14:paraId="7020D74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taxe est ventilée en :</w:t>
      </w:r>
    </w:p>
    <w:p w14:paraId="36F00607" w14:textId="77777777" w:rsidR="0022723E" w:rsidRPr="00C51D72" w:rsidRDefault="003C36C7">
      <w:pPr>
        <w:pStyle w:val="whP14pod"/>
        <w:numPr>
          <w:ilvl w:val="0"/>
          <w:numId w:val="1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Une taxe proportionnelle au nombre de levées du/des conteneur(s) ;</w:t>
      </w:r>
    </w:p>
    <w:p w14:paraId="5017C64F" w14:textId="754A85DC" w:rsidR="0022723E" w:rsidRPr="00D527FE" w:rsidRDefault="003C36C7" w:rsidP="00D527FE">
      <w:pPr>
        <w:pStyle w:val="whP14pod"/>
        <w:numPr>
          <w:ilvl w:val="0"/>
          <w:numId w:val="12"/>
        </w:numPr>
        <w:tabs>
          <w:tab w:val="left" w:pos="922"/>
        </w:tabs>
        <w:rPr>
          <w:rFonts w:ascii="Times New Roman" w:hAnsi="Times New Roman" w:cs="Times New Roman"/>
          <w:sz w:val="22"/>
          <w:szCs w:val="22"/>
        </w:rPr>
      </w:pPr>
      <w:r w:rsidRPr="00D527FE">
        <w:rPr>
          <w:rFonts w:ascii="Times New Roman" w:hAnsi="Times New Roman" w:cs="Times New Roman"/>
          <w:sz w:val="22"/>
          <w:szCs w:val="22"/>
        </w:rPr>
        <w:t>Une taxe proportionnelle au poids des déchets déposés. </w:t>
      </w:r>
    </w:p>
    <w:p w14:paraId="4631AFE4" w14:textId="46FE2ED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La taxe proportionnelle est due solidairement par les membres de tout ménage inscrits au registre de la population, au registre des étrangers ou recensés comme seconds résidents au 1er janvier de l’exercice d’imposition ainsi que par les membres de toute association exerçant une activité à caractère lucratif ou non (commerciale, industrielle ou autre) et occupant, à quelque fin que ce soit, tout ou partie d’immeuble situé sur le territoire de la Commune. </w:t>
      </w:r>
    </w:p>
    <w:p w14:paraId="7B35A5C0"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2. - Montant de la taxe proportionnelle</w:t>
      </w:r>
    </w:p>
    <w:p w14:paraId="5424B47B" w14:textId="77777777" w:rsidR="0022723E" w:rsidRPr="00C51D72" w:rsidRDefault="003C36C7">
      <w:pPr>
        <w:pStyle w:val="whP16pod"/>
        <w:numPr>
          <w:ilvl w:val="0"/>
          <w:numId w:val="14"/>
        </w:numPr>
        <w:tabs>
          <w:tab w:val="left" w:pos="922"/>
        </w:tabs>
        <w:rPr>
          <w:rFonts w:ascii="Times New Roman" w:hAnsi="Times New Roman" w:cs="Times New Roman"/>
          <w:sz w:val="22"/>
          <w:szCs w:val="22"/>
        </w:rPr>
      </w:pPr>
      <w:r w:rsidRPr="00C51D72">
        <w:rPr>
          <w:rStyle w:val="whP6pod"/>
          <w:rFonts w:ascii="Times New Roman" w:hAnsi="Times New Roman" w:cs="Times New Roman"/>
          <w:sz w:val="22"/>
          <w:szCs w:val="22"/>
        </w:rPr>
        <w:t>Les déchets issus des ménages</w:t>
      </w:r>
    </w:p>
    <w:p w14:paraId="1F2CA4B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proportionnelle liée au nombre de levées du/des conteneur(s) est de :</w:t>
      </w:r>
    </w:p>
    <w:p w14:paraId="0EB86FCE" w14:textId="77777777" w:rsidR="0022723E" w:rsidRPr="00C51D72" w:rsidRDefault="003C36C7">
      <w:pPr>
        <w:pStyle w:val="podBulletItem"/>
        <w:numPr>
          <w:ilvl w:val="0"/>
          <w:numId w:val="1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0,90 €/levée.</w:t>
      </w:r>
    </w:p>
    <w:p w14:paraId="54A5EB7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proportionnelle liée au poids des déchets déposés est de :</w:t>
      </w:r>
    </w:p>
    <w:p w14:paraId="7C46B520" w14:textId="77777777" w:rsidR="0022723E" w:rsidRPr="00C51D72" w:rsidRDefault="003C36C7">
      <w:pPr>
        <w:pStyle w:val="podBulletItem"/>
        <w:numPr>
          <w:ilvl w:val="0"/>
          <w:numId w:val="1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0,30 €/kg pour les déchets ménagers résiduels jusqu’à 80 kg/hab/an ;</w:t>
      </w:r>
    </w:p>
    <w:p w14:paraId="3F9F93B9" w14:textId="77777777" w:rsidR="0022723E" w:rsidRPr="00C51D72" w:rsidRDefault="003C36C7">
      <w:pPr>
        <w:pStyle w:val="podBulletItem"/>
        <w:numPr>
          <w:ilvl w:val="0"/>
          <w:numId w:val="1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0,55 €/kg pour les déchets ménagers résiduels au-delà de 80 kg/hab/an ;</w:t>
      </w:r>
    </w:p>
    <w:p w14:paraId="67F2E6DD" w14:textId="77777777" w:rsidR="0022723E" w:rsidRPr="00C51D72" w:rsidRDefault="003C36C7">
      <w:pPr>
        <w:pStyle w:val="podBulletItem"/>
        <w:numPr>
          <w:ilvl w:val="0"/>
          <w:numId w:val="1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0,10 €/kg de déchets ménagers organiques.</w:t>
      </w:r>
    </w:p>
    <w:p w14:paraId="5ABFD849" w14:textId="20573E14" w:rsidR="0022723E" w:rsidRPr="00C51D72" w:rsidRDefault="003C36C7" w:rsidP="00D527FE">
      <w:pPr>
        <w:pStyle w:val="whP2pod"/>
        <w:rPr>
          <w:rFonts w:ascii="Times New Roman" w:hAnsi="Times New Roman" w:cs="Times New Roman"/>
          <w:sz w:val="22"/>
          <w:szCs w:val="22"/>
        </w:rPr>
      </w:pPr>
      <w:r w:rsidRPr="00C51D72">
        <w:rPr>
          <w:rFonts w:ascii="Times New Roman" w:hAnsi="Times New Roman" w:cs="Times New Roman"/>
          <w:sz w:val="22"/>
          <w:szCs w:val="22"/>
        </w:rPr>
        <w:t> </w:t>
      </w:r>
      <w:r w:rsidRPr="00C51D72">
        <w:rPr>
          <w:rStyle w:val="whP6pod"/>
          <w:rFonts w:ascii="Times New Roman" w:hAnsi="Times New Roman" w:cs="Times New Roman"/>
          <w:sz w:val="22"/>
          <w:szCs w:val="22"/>
        </w:rPr>
        <w:t>Les déchets commerciaux et assimilés</w:t>
      </w:r>
    </w:p>
    <w:p w14:paraId="0CD94A0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proportionnelle liée au nombre de levées du/des conteneur(s) est de :</w:t>
      </w:r>
    </w:p>
    <w:p w14:paraId="06F8C7E8" w14:textId="77777777" w:rsidR="0022723E" w:rsidRPr="00C51D72" w:rsidRDefault="003C36C7">
      <w:pPr>
        <w:pStyle w:val="podBulletItem"/>
        <w:numPr>
          <w:ilvl w:val="0"/>
          <w:numId w:val="19"/>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0,90 €/levée.</w:t>
      </w:r>
    </w:p>
    <w:p w14:paraId="1119C3F6" w14:textId="77777777"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La taxe proportionnelle liée au poids des déchets déposés est de :</w:t>
      </w:r>
    </w:p>
    <w:p w14:paraId="247F5C15" w14:textId="77777777" w:rsidR="0022723E" w:rsidRPr="00C51D72" w:rsidRDefault="003C36C7">
      <w:pPr>
        <w:pStyle w:val="podBulletItem"/>
        <w:numPr>
          <w:ilvl w:val="0"/>
          <w:numId w:val="20"/>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0,15 €/kg de déchets assimilés ;</w:t>
      </w:r>
    </w:p>
    <w:p w14:paraId="1E809CA3" w14:textId="1ACDAE48" w:rsidR="0022723E" w:rsidRPr="00D527FE" w:rsidRDefault="003C36C7" w:rsidP="00D527FE">
      <w:pPr>
        <w:pStyle w:val="podBulletItem"/>
        <w:numPr>
          <w:ilvl w:val="0"/>
          <w:numId w:val="20"/>
        </w:numPr>
        <w:tabs>
          <w:tab w:val="left" w:pos="922"/>
        </w:tabs>
        <w:rPr>
          <w:rFonts w:ascii="Times New Roman" w:hAnsi="Times New Roman" w:cs="Times New Roman"/>
          <w:sz w:val="22"/>
          <w:szCs w:val="22"/>
        </w:rPr>
      </w:pPr>
      <w:r w:rsidRPr="00D527FE">
        <w:rPr>
          <w:rFonts w:ascii="Times New Roman" w:hAnsi="Times New Roman" w:cs="Times New Roman"/>
          <w:sz w:val="22"/>
          <w:szCs w:val="22"/>
        </w:rPr>
        <w:t>0,07 €/kg de déchets organiques. </w:t>
      </w:r>
    </w:p>
    <w:p w14:paraId="4705D2FC"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Article 3. - Principes et réductions sur la taxe proportionnelle</w:t>
      </w:r>
    </w:p>
    <w:p w14:paraId="3DAAAFAA" w14:textId="5FA3ADD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proportionnelle est due par toute personne physique ou morale qui utilise le service de collecte des déchets ménagers et assimilés par conteneur muni d’une puce électronique. </w:t>
      </w:r>
    </w:p>
    <w:p w14:paraId="24D24D33" w14:textId="2551C97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personnes agréées par l’O.N.E. en qualité d’accueillantes d’enfant(s) à domicile, conventionnées ou autonomes, bénéficient d’une réduction mensuelle de 12,50 kg de déchets ménagers résiduels par enfant équivalent temps plein. Dans ce cas, la réduction est accordée sur présentation de l’autorisation d’accueil d’enfants délivrée par l’O.N.E. Elle est valable dès le 1er jour du mois qui suit la date d’autorisation mentionnée sur l’autorisation. Toute modification apportée à cette autorisation doit être communiquée sans délai au Collège communal. </w:t>
      </w:r>
    </w:p>
    <w:p w14:paraId="1877E282" w14:textId="4DAB577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personnes incontinentes bénéficient d’une réduction mensuelle de 33,33 kg de déchets ménagers résiduels. La réduction est accordée sur base d’un certificat médical attestant de la nécessité du port de lange pour incontinence. La réduction est valable dès le 1er jour du mois qui suit la date figurant sur le certificat médical. Toute modification apportée à cette situation doit être communiquée sans délai au Collège communal. </w:t>
      </w:r>
    </w:p>
    <w:p w14:paraId="146A3EC3" w14:textId="41482E27" w:rsidR="0022723E" w:rsidRPr="00C51D72" w:rsidRDefault="003C36C7" w:rsidP="00D527FE">
      <w:pPr>
        <w:pStyle w:val="whP2pod"/>
        <w:rPr>
          <w:rFonts w:ascii="Times New Roman" w:hAnsi="Times New Roman" w:cs="Times New Roman"/>
          <w:sz w:val="22"/>
          <w:szCs w:val="22"/>
        </w:rPr>
      </w:pPr>
      <w:r w:rsidRPr="00C51D72">
        <w:rPr>
          <w:rFonts w:ascii="Times New Roman" w:hAnsi="Times New Roman" w:cs="Times New Roman"/>
          <w:sz w:val="22"/>
          <w:szCs w:val="22"/>
        </w:rPr>
        <w:t>Les demandes de réduction visées au présent article doivent être introduites auprès du Collège communal, dans les 60 jours de la date de délivrance de l’avertissement-extrait de rôle. </w:t>
      </w:r>
    </w:p>
    <w:p w14:paraId="6C4176F3" w14:textId="091F5C8C" w:rsidR="0022723E" w:rsidRPr="00A361B7" w:rsidRDefault="003C36C7" w:rsidP="00D527FE">
      <w:pPr>
        <w:pStyle w:val="whP18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TITRE 5 - CONTENANTS</w:t>
      </w:r>
      <w:r w:rsidRPr="00A361B7">
        <w:rPr>
          <w:rFonts w:ascii="Times New Roman" w:hAnsi="Times New Roman" w:cs="Times New Roman"/>
          <w:b/>
          <w:bCs/>
          <w:sz w:val="22"/>
          <w:szCs w:val="22"/>
        </w:rPr>
        <w:t> </w:t>
      </w:r>
    </w:p>
    <w:p w14:paraId="2AD77BF5" w14:textId="132E1A30"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1.</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La collecte des déchets ménagers résiduels, de la fraction organique et des papiers-cartons s’effectue exclusivement à l’aide des conteneurs à puce d’identification électronique. </w:t>
      </w:r>
    </w:p>
    <w:p w14:paraId="54AFBD19" w14:textId="6AAF672C"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2.</w:t>
      </w:r>
      <w:r w:rsidRPr="00C51D72">
        <w:rPr>
          <w:rFonts w:ascii="Times New Roman" w:hAnsi="Times New Roman" w:cs="Times New Roman"/>
          <w:sz w:val="22"/>
          <w:szCs w:val="22"/>
        </w:rPr>
        <w:t xml:space="preserve"> </w:t>
      </w:r>
      <w:r w:rsidRPr="00C51D72">
        <w:rPr>
          <w:rStyle w:val="whP3pod"/>
          <w:rFonts w:ascii="Times New Roman" w:hAnsi="Times New Roman" w:cs="Times New Roman"/>
          <w:sz w:val="22"/>
          <w:szCs w:val="22"/>
        </w:rPr>
        <w:t>-</w:t>
      </w:r>
      <w:r w:rsidRPr="00C51D72">
        <w:rPr>
          <w:rFonts w:ascii="Times New Roman" w:hAnsi="Times New Roman" w:cs="Times New Roman"/>
          <w:sz w:val="22"/>
          <w:szCs w:val="22"/>
        </w:rPr>
        <w:t xml:space="preserve"> Pour les ménages résidant Place de la Sucrerie ou à proximité, des conteneurs communs enterrés sont mis à disposition. Chaque ménage concerné dispose d’un badge d’accès donnant droit à 50 kg/hab/an de déchets ménagers et à 25 kg/hab/an de déchets organiques. Au-delà de ces quantités, l’</w:t>
      </w:r>
      <w:r w:rsidRPr="00C51D72">
        <w:rPr>
          <w:rStyle w:val="whP4pod"/>
          <w:rFonts w:ascii="Times New Roman" w:hAnsi="Times New Roman" w:cs="Times New Roman"/>
          <w:sz w:val="22"/>
          <w:szCs w:val="22"/>
        </w:rPr>
        <w:t>Article 2. - Montant de la taxe proportionnelle</w:t>
      </w:r>
      <w:r w:rsidRPr="00C51D72">
        <w:rPr>
          <w:rFonts w:ascii="Times New Roman" w:hAnsi="Times New Roman" w:cs="Times New Roman"/>
          <w:sz w:val="22"/>
          <w:szCs w:val="22"/>
        </w:rPr>
        <w:t xml:space="preserve"> est d’application. L’accès à ces conteneurs est illimité. </w:t>
      </w:r>
    </w:p>
    <w:p w14:paraId="27CA1B35" w14:textId="6615E49D" w:rsidR="0022723E" w:rsidRPr="00A361B7" w:rsidRDefault="003C36C7" w:rsidP="00D527FE">
      <w:pPr>
        <w:pStyle w:val="whP15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TITRE 6 - MODALITÉS D’ENRÔLEMENT ET DE RECOUVREMENT</w:t>
      </w:r>
      <w:r w:rsidRPr="00A361B7">
        <w:rPr>
          <w:rFonts w:ascii="Times New Roman" w:hAnsi="Times New Roman" w:cs="Times New Roman"/>
          <w:b/>
          <w:bCs/>
          <w:sz w:val="22"/>
          <w:szCs w:val="22"/>
        </w:rPr>
        <w:t> </w:t>
      </w:r>
    </w:p>
    <w:p w14:paraId="1EA9700D" w14:textId="70F04EDF"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1.</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Le rôle et les avertissements-extraits y relatifs sont dressés par la Commune de Remicourt, sur base des informations transmises par l'Intercommunale INTRADEL. Le rôle de la taxe annuelle est arrêté et rendu exécutoire par le Collège communal. </w:t>
      </w:r>
    </w:p>
    <w:p w14:paraId="58955F3F" w14:textId="4E0EBA2C"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2.</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Le recouvrement de la taxe sera poursuivi conformément aux dispositions du Code de la Démocratie locale et de la Décentralisation relatives à l’établissement et au recouvrement des taxes communales. Les contribuables recevront sans frais, par les soins du receveur régional, les avertissements-extraits mentionnant les sommes pour lesquelles ils sont portés au rôle. </w:t>
      </w:r>
    </w:p>
    <w:p w14:paraId="7A068371" w14:textId="2608F8E3"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3.</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Le paiement de celle-ci devra s’effectuer dans les deux mois à dater de l’envoi de l’avertissement-extrait de rôle. À défaut de paiement dans le délai précité, les sommes dues sont productives au profit de la Commune, pour la durée du retard, d’un intérêt qui est appliqué et calculé suivant les règles en vigueur pour les impôts de l’État. </w:t>
      </w:r>
    </w:p>
    <w:p w14:paraId="66ED7D42" w14:textId="77777777"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4.</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Le redevable de la présente imposition peut introduire, auprès du Collège communal, une réclamation faite par écrit, motivée et remise ou présentée par envoi postal dans un délai d'un an à compter du troisième jour ouvrable qui suit la date d’envoi de l’avertissement-extrait de rôle mentionnant le délai de réclamation, telle qu’elle figure sur ledit avertissement-extrait de rôle ou qui suit la date de l’avis de cotisation ou de perception des impôts perçus autrement que par rôle.</w:t>
      </w:r>
    </w:p>
    <w:p w14:paraId="40F12FE6" w14:textId="5FE593D6"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5.</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 xml:space="preserve"> Les registres de perception et recouvrement et les rôles ne sont pas conservés plus longtemps que nécessaire au regard de la finalité pour laquelle ils sont établis, avec une durée maximale de conservation ne pouvant excéder le 31 décembre de l'année qui suit celle au cours de laquelle sont intervenus la prescription de toutes les </w:t>
      </w:r>
      <w:r w:rsidRPr="00C51D72">
        <w:rPr>
          <w:rFonts w:ascii="Times New Roman" w:hAnsi="Times New Roman" w:cs="Times New Roman"/>
          <w:sz w:val="22"/>
          <w:szCs w:val="22"/>
        </w:rPr>
        <w:lastRenderedPageBreak/>
        <w:t>actions qui relèvent de la compétence du responsable du traitement ou du paiement intégral de tous les montants y liés ou de la cessation définitive des procédures et recours administratifs et judiciaires y liés.</w:t>
      </w:r>
    </w:p>
    <w:p w14:paraId="7FC7746D" w14:textId="77777777" w:rsidR="0022723E" w:rsidRPr="00C51D72" w:rsidRDefault="003C36C7">
      <w:pPr>
        <w:pStyle w:val="whP14pod"/>
        <w:numPr>
          <w:ilvl w:val="0"/>
          <w:numId w:val="21"/>
        </w:numPr>
        <w:tabs>
          <w:tab w:val="left" w:pos="922"/>
        </w:tabs>
        <w:rPr>
          <w:rFonts w:ascii="Times New Roman" w:hAnsi="Times New Roman" w:cs="Times New Roman"/>
          <w:sz w:val="22"/>
          <w:szCs w:val="22"/>
        </w:rPr>
      </w:pPr>
      <w:r w:rsidRPr="00C51D72">
        <w:rPr>
          <w:rFonts w:ascii="Times New Roman" w:hAnsi="Times New Roman" w:cs="Times New Roman"/>
          <w:sz w:val="22"/>
          <w:szCs w:val="22"/>
        </w:rPr>
        <w:t>Responsable de traitement : Commune de Remicourt.</w:t>
      </w:r>
    </w:p>
    <w:p w14:paraId="6DB875C6" w14:textId="6A04C24D" w:rsidR="0022723E" w:rsidRPr="00D527FE" w:rsidRDefault="003C36C7" w:rsidP="00D527FE">
      <w:pPr>
        <w:pStyle w:val="whP14pod"/>
        <w:numPr>
          <w:ilvl w:val="0"/>
          <w:numId w:val="21"/>
        </w:numPr>
        <w:tabs>
          <w:tab w:val="left" w:pos="922"/>
        </w:tabs>
        <w:rPr>
          <w:rFonts w:ascii="Times New Roman" w:hAnsi="Times New Roman" w:cs="Times New Roman"/>
          <w:sz w:val="22"/>
          <w:szCs w:val="22"/>
        </w:rPr>
      </w:pPr>
      <w:r w:rsidRPr="00D527FE">
        <w:rPr>
          <w:rFonts w:ascii="Times New Roman" w:hAnsi="Times New Roman" w:cs="Times New Roman"/>
          <w:sz w:val="22"/>
          <w:szCs w:val="22"/>
        </w:rPr>
        <w:t>Communication des données : Les données ne seront communiquées qu'à des tiers autorisés par ou en vertu de la loi, notamment en application de l'article 327 du code des impôts sur les revenus, ou à des sous-traitants du responsable de traitement. </w:t>
      </w:r>
    </w:p>
    <w:p w14:paraId="588B24F7" w14:textId="77777777" w:rsidR="0022723E" w:rsidRPr="00C51D72" w:rsidRDefault="003C36C7">
      <w:pPr>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6.</w:t>
      </w:r>
      <w:r w:rsidRPr="00C51D72">
        <w:rPr>
          <w:rFonts w:ascii="Times New Roman" w:hAnsi="Times New Roman" w:cs="Times New Roman"/>
          <w:sz w:val="22"/>
          <w:szCs w:val="22"/>
        </w:rPr>
        <w:t> Le traitement de données à caractère personnel nécessaire à la mise en œuvre du présent règlement se fera suivant les règles suivantes :</w:t>
      </w:r>
    </w:p>
    <w:p w14:paraId="6D15F144" w14:textId="77777777" w:rsidR="0022723E" w:rsidRPr="00C51D72" w:rsidRDefault="003C36C7">
      <w:pPr>
        <w:pStyle w:val="podBulletItem"/>
        <w:numPr>
          <w:ilvl w:val="0"/>
          <w:numId w:val="2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Responsable de traitement : la commune de Remicourt ;</w:t>
      </w:r>
    </w:p>
    <w:p w14:paraId="7DD5C03A" w14:textId="77777777" w:rsidR="0022723E" w:rsidRPr="00C51D72" w:rsidRDefault="003C36C7">
      <w:pPr>
        <w:pStyle w:val="podBulletItem"/>
        <w:numPr>
          <w:ilvl w:val="0"/>
          <w:numId w:val="2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Finalité du traitement : établissement et recouvrement de la taxe redevance ;</w:t>
      </w:r>
    </w:p>
    <w:p w14:paraId="0C3C5B19" w14:textId="77777777" w:rsidR="0022723E" w:rsidRPr="00C51D72" w:rsidRDefault="003C36C7">
      <w:pPr>
        <w:pStyle w:val="podBulletItem"/>
        <w:numPr>
          <w:ilvl w:val="0"/>
          <w:numId w:val="2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Catégorie de données : données d’identification ;</w:t>
      </w:r>
    </w:p>
    <w:p w14:paraId="027F8276" w14:textId="77777777" w:rsidR="0022723E" w:rsidRPr="00C51D72" w:rsidRDefault="003C36C7">
      <w:pPr>
        <w:pStyle w:val="podBulletItem"/>
        <w:numPr>
          <w:ilvl w:val="0"/>
          <w:numId w:val="2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Durée de conservation : la commune s’engage à conserver les données pour un délai de 30 ans et à les supprimer par la suite ou à les transférer aux archives de l’Etat selon les instructions reçues de cette administration ;</w:t>
      </w:r>
    </w:p>
    <w:p w14:paraId="70BC9B11" w14:textId="77777777" w:rsidR="0022723E" w:rsidRPr="00C51D72" w:rsidRDefault="003C36C7">
      <w:pPr>
        <w:pStyle w:val="podBulletItem"/>
        <w:numPr>
          <w:ilvl w:val="0"/>
          <w:numId w:val="2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Méthode de collecte : recensement par la commune ;</w:t>
      </w:r>
    </w:p>
    <w:p w14:paraId="245354D5" w14:textId="275F48F3" w:rsidR="0022723E" w:rsidRPr="00D527FE" w:rsidRDefault="003C36C7" w:rsidP="00D527FE">
      <w:pPr>
        <w:pStyle w:val="podBulletItem"/>
        <w:numPr>
          <w:ilvl w:val="0"/>
          <w:numId w:val="22"/>
        </w:numPr>
        <w:tabs>
          <w:tab w:val="left" w:pos="922"/>
        </w:tabs>
        <w:rPr>
          <w:rFonts w:ascii="Times New Roman" w:hAnsi="Times New Roman" w:cs="Times New Roman"/>
          <w:sz w:val="22"/>
          <w:szCs w:val="22"/>
        </w:rPr>
      </w:pPr>
      <w:r w:rsidRPr="00D527FE">
        <w:rPr>
          <w:rFonts w:ascii="Times New Roman" w:hAnsi="Times New Roman" w:cs="Times New Roman"/>
          <w:sz w:val="22"/>
          <w:szCs w:val="22"/>
        </w:rPr>
        <w:t>Communication des données : les données ne seront communiquées qu’à des tiers autorisés par ou en vertu de la loi, notamment en application de l’article 327 du CIR92, ou à des sous-traitants de la Commune. </w:t>
      </w:r>
    </w:p>
    <w:p w14:paraId="51FA09B4" w14:textId="0D7E5557" w:rsidR="0022723E" w:rsidRPr="00C51D72" w:rsidRDefault="003C36C7">
      <w:pPr>
        <w:pStyle w:val="whP2pod"/>
        <w:rPr>
          <w:rFonts w:ascii="Times New Roman" w:hAnsi="Times New Roman" w:cs="Times New Roman"/>
          <w:sz w:val="22"/>
          <w:szCs w:val="22"/>
        </w:rPr>
      </w:pPr>
      <w:r w:rsidRPr="00A361B7">
        <w:rPr>
          <w:rStyle w:val="whP1pod"/>
          <w:rFonts w:ascii="Times New Roman" w:hAnsi="Times New Roman" w:cs="Times New Roman"/>
          <w:b w:val="0"/>
          <w:bCs/>
          <w:sz w:val="22"/>
          <w:szCs w:val="22"/>
        </w:rPr>
        <w:t>Article 7</w:t>
      </w:r>
      <w:r w:rsidRPr="00C51D72">
        <w:rPr>
          <w:rStyle w:val="whP1pod"/>
          <w:rFonts w:ascii="Times New Roman" w:hAnsi="Times New Roman" w:cs="Times New Roman"/>
          <w:sz w:val="22"/>
          <w:szCs w:val="22"/>
        </w:rPr>
        <w:t>.</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La présente délibération sera publiée conformément aux articles L1133-1 et L1133-2 du Code de la Démocratie locale et de la Décentralisation. Le présent règlement de taxe entre en vigueur au 01 janvier 2026. </w:t>
      </w:r>
    </w:p>
    <w:p w14:paraId="683FE935" w14:textId="10ADD7AC" w:rsidR="0022723E" w:rsidRPr="00C51D72" w:rsidRDefault="003C36C7" w:rsidP="00D527FE">
      <w:pPr>
        <w:pStyle w:val="whP2pod"/>
        <w:rPr>
          <w:rFonts w:ascii="Times New Roman" w:hAnsi="Times New Roman" w:cs="Times New Roman"/>
          <w:color w:val="000000"/>
          <w:sz w:val="22"/>
          <w:szCs w:val="22"/>
        </w:rPr>
      </w:pPr>
      <w:r w:rsidRPr="00A361B7">
        <w:rPr>
          <w:rStyle w:val="whP1pod"/>
          <w:rFonts w:ascii="Times New Roman" w:hAnsi="Times New Roman" w:cs="Times New Roman"/>
          <w:b w:val="0"/>
          <w:bCs/>
          <w:sz w:val="22"/>
          <w:szCs w:val="22"/>
        </w:rPr>
        <w:t>Article 8.</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La présente délibération sera transmise au Gouvernement Wallon conformément aux articles L3131-1 et suivants dans le cadre de la tutelle générale d’annulation à transmission obligatoire.</w:t>
      </w:r>
    </w:p>
    <w:p w14:paraId="76E292FD"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6D2DE62C" w14:textId="77777777" w:rsidR="0022723E" w:rsidRPr="00C51D72" w:rsidRDefault="003C36C7">
      <w:pPr>
        <w:pStyle w:val="Titre2"/>
        <w:tabs>
          <w:tab w:val="left" w:pos="1020"/>
        </w:tabs>
        <w:spacing w:before="0" w:after="113"/>
        <w:ind w:left="510" w:hanging="510"/>
        <w:jc w:val="both"/>
        <w:rPr>
          <w:rFonts w:cs="Times New Roman"/>
          <w:szCs w:val="22"/>
        </w:rPr>
      </w:pPr>
      <w:bookmarkStart w:id="11" w:name="__RefHeading___Toc1768_349934923611"/>
      <w:bookmarkEnd w:id="11"/>
      <w:r w:rsidRPr="00C51D72">
        <w:rPr>
          <w:rFonts w:cs="Times New Roman"/>
          <w:color w:val="000000"/>
          <w:szCs w:val="22"/>
          <w:u w:val="none"/>
        </w:rPr>
        <w:t>12.</w:t>
      </w:r>
      <w:r w:rsidRPr="00C51D72">
        <w:rPr>
          <w:rFonts w:cs="Times New Roman"/>
          <w:color w:val="000000"/>
          <w:szCs w:val="22"/>
          <w:u w:val="none"/>
        </w:rPr>
        <w:tab/>
      </w:r>
      <w:r w:rsidRPr="00C51D72">
        <w:rPr>
          <w:rFonts w:cs="Times New Roman"/>
          <w:caps/>
          <w:color w:val="000000"/>
          <w:szCs w:val="22"/>
        </w:rPr>
        <w:t>TAXE SUR LA DÉLIVRANCE DE DOCUMENTS ADMINISTRATIFS – EXERCICE 2026.</w:t>
      </w:r>
    </w:p>
    <w:p w14:paraId="14E42657"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7787AC36" w14:textId="0565704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 4 ; </w:t>
      </w:r>
    </w:p>
    <w:p w14:paraId="6882CAE6" w14:textId="1F903C9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58E7F00A" w14:textId="7B71319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L3321-1 à 12 ; </w:t>
      </w:r>
    </w:p>
    <w:p w14:paraId="2ADC785F" w14:textId="408750C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taxes communales ; </w:t>
      </w:r>
    </w:p>
    <w:p w14:paraId="6B9A135E" w14:textId="2233D3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5F0A9BE9" w14:textId="394453E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délivrance de documents administratifs de toutes espèces entraîne de lourdes charges pour la Commune et qu'il est indiqué de réclamer une redevance aux bénéficiaires de la prestation ; </w:t>
      </w:r>
    </w:p>
    <w:p w14:paraId="2DFD8F12" w14:textId="0D5365F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cependant que certains documents, à caractère social, doivent pouvoir bénéficier de la gratuité ; </w:t>
      </w:r>
    </w:p>
    <w:p w14:paraId="3B7CBD14" w14:textId="537B6C2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la commune doit se doter des moyens nécessaires afin d’assurer l’exercice de sa mission de service public ; </w:t>
      </w:r>
    </w:p>
    <w:p w14:paraId="18CFDF80" w14:textId="40F1E41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L1124-40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3°et 4° du Code de la démocratie locale et de la décentralisation ; </w:t>
      </w:r>
    </w:p>
    <w:p w14:paraId="08C0718F" w14:textId="1AC76BB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en date du 03 novembre 2025 et joint en annexe ; </w:t>
      </w:r>
    </w:p>
    <w:p w14:paraId="4AD1C78B" w14:textId="6F7B476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0D73EDCC" w14:textId="676E4B8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w:t>
      </w:r>
    </w:p>
    <w:p w14:paraId="604DE432" w14:textId="0D54341E" w:rsidR="0022723E" w:rsidRPr="00A361B7" w:rsidRDefault="003C36C7">
      <w:pPr>
        <w:pStyle w:val="whP2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À l'unanimité,</w:t>
      </w:r>
      <w:r w:rsidRPr="00A361B7">
        <w:rPr>
          <w:rFonts w:ascii="Times New Roman" w:hAnsi="Times New Roman" w:cs="Times New Roman"/>
          <w:b/>
          <w:bCs/>
          <w:sz w:val="22"/>
          <w:szCs w:val="22"/>
        </w:rPr>
        <w:t> </w:t>
      </w:r>
    </w:p>
    <w:p w14:paraId="33361A6E" w14:textId="72600D9B" w:rsidR="0022723E" w:rsidRPr="00A361B7" w:rsidRDefault="003C36C7">
      <w:pPr>
        <w:pStyle w:val="whP2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 xml:space="preserve">DÉCIDE : </w:t>
      </w:r>
      <w:r w:rsidRPr="00A361B7">
        <w:rPr>
          <w:rFonts w:ascii="Times New Roman" w:hAnsi="Times New Roman" w:cs="Times New Roman"/>
          <w:b/>
          <w:bCs/>
          <w:sz w:val="22"/>
          <w:szCs w:val="22"/>
        </w:rPr>
        <w:t> </w:t>
      </w:r>
    </w:p>
    <w:p w14:paraId="5A7FE7C4" w14:textId="69F6E1AD"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1</w:t>
      </w:r>
      <w:r w:rsidRPr="00A361B7">
        <w:rPr>
          <w:rStyle w:val="whP19pod"/>
          <w:rFonts w:ascii="Times New Roman" w:hAnsi="Times New Roman" w:cs="Times New Roman"/>
          <w:b/>
          <w:bCs/>
          <w:sz w:val="22"/>
          <w:szCs w:val="22"/>
        </w:rPr>
        <w:t>er</w:t>
      </w:r>
      <w:r w:rsidRPr="00C51D72">
        <w:rPr>
          <w:rStyle w:val="whP19pod"/>
          <w:rFonts w:ascii="Times New Roman" w:hAnsi="Times New Roman" w:cs="Times New Roman"/>
          <w:sz w:val="22"/>
          <w:szCs w:val="22"/>
        </w:rPr>
        <w:t xml:space="preserve"> </w:t>
      </w:r>
      <w:r w:rsidRPr="00C51D72">
        <w:rPr>
          <w:rStyle w:val="whP5pod"/>
          <w:rFonts w:ascii="Times New Roman" w:hAnsi="Times New Roman" w:cs="Times New Roman"/>
          <w:sz w:val="22"/>
          <w:szCs w:val="22"/>
        </w:rPr>
        <w:t>–</w:t>
      </w:r>
      <w:r w:rsidRPr="00C51D72">
        <w:rPr>
          <w:rFonts w:ascii="Times New Roman" w:hAnsi="Times New Roman" w:cs="Times New Roman"/>
          <w:sz w:val="22"/>
          <w:szCs w:val="22"/>
        </w:rPr>
        <w:t xml:space="preserve"> Il est établi, pour l'exercice 2026, une taxe communale sur la délivrance de documents administratifs par la commune. </w:t>
      </w:r>
    </w:p>
    <w:p w14:paraId="15732D69" w14:textId="3F3C991E"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2</w:t>
      </w:r>
      <w:r w:rsidRPr="00A361B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La taxe est due par la personne (physique ou morale) qui sollicite la délivrance du document. </w:t>
      </w:r>
    </w:p>
    <w:p w14:paraId="7EA1C2EC" w14:textId="77777777" w:rsidR="0022723E" w:rsidRPr="00C51D72" w:rsidRDefault="003C36C7">
      <w:pPr>
        <w:pStyle w:val="whP2pod"/>
        <w:rPr>
          <w:rFonts w:ascii="Times New Roman" w:hAnsi="Times New Roman" w:cs="Times New Roman"/>
          <w:sz w:val="22"/>
          <w:szCs w:val="22"/>
        </w:rPr>
      </w:pPr>
      <w:r w:rsidRPr="00A361B7">
        <w:rPr>
          <w:rStyle w:val="whP21pod"/>
          <w:rFonts w:ascii="Times New Roman" w:hAnsi="Times New Roman" w:cs="Times New Roman"/>
          <w:b w:val="0"/>
          <w:bCs/>
          <w:sz w:val="22"/>
          <w:szCs w:val="22"/>
        </w:rPr>
        <w:t>Article 3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La taxe est fixée comme suit, par document :</w:t>
      </w:r>
    </w:p>
    <w:tbl>
      <w:tblPr>
        <w:tblW w:w="10142" w:type="dxa"/>
        <w:tblInd w:w="62" w:type="dxa"/>
        <w:tblLayout w:type="fixed"/>
        <w:tblCellMar>
          <w:left w:w="0" w:type="dxa"/>
          <w:right w:w="0" w:type="dxa"/>
        </w:tblCellMar>
        <w:tblLook w:val="04A0" w:firstRow="1" w:lastRow="0" w:firstColumn="1" w:lastColumn="0" w:noHBand="0" w:noVBand="1"/>
      </w:tblPr>
      <w:tblGrid>
        <w:gridCol w:w="6241"/>
        <w:gridCol w:w="1207"/>
        <w:gridCol w:w="1559"/>
        <w:gridCol w:w="1135"/>
      </w:tblGrid>
      <w:tr w:rsidR="0022723E" w:rsidRPr="00C51D72" w14:paraId="2BC637B9" w14:textId="77777777" w:rsidTr="00A361B7">
        <w:tc>
          <w:tcPr>
            <w:tcW w:w="6241" w:type="dxa"/>
            <w:tcBorders>
              <w:top w:val="single" w:sz="2" w:space="0" w:color="000000"/>
              <w:left w:val="single" w:sz="2" w:space="0" w:color="000000"/>
              <w:bottom w:val="single" w:sz="2" w:space="0" w:color="000000"/>
              <w:right w:val="single" w:sz="2" w:space="0" w:color="000000"/>
            </w:tcBorders>
            <w:vAlign w:val="center"/>
          </w:tcPr>
          <w:p w14:paraId="1EBFD744" w14:textId="77777777" w:rsidR="0022723E" w:rsidRPr="00A361B7" w:rsidRDefault="003C36C7">
            <w:pPr>
              <w:pStyle w:val="whP7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Objet</w:t>
            </w:r>
          </w:p>
        </w:tc>
        <w:tc>
          <w:tcPr>
            <w:tcW w:w="1207" w:type="dxa"/>
            <w:tcBorders>
              <w:top w:val="single" w:sz="2" w:space="0" w:color="000000"/>
              <w:left w:val="single" w:sz="2" w:space="0" w:color="000000"/>
              <w:bottom w:val="single" w:sz="2" w:space="0" w:color="000000"/>
              <w:right w:val="single" w:sz="2" w:space="0" w:color="000000"/>
            </w:tcBorders>
            <w:vAlign w:val="center"/>
          </w:tcPr>
          <w:p w14:paraId="40B2052C" w14:textId="77777777" w:rsidR="0022723E" w:rsidRPr="00A361B7" w:rsidRDefault="003C36C7">
            <w:pPr>
              <w:pStyle w:val="whP7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Taxe</w:t>
            </w:r>
          </w:p>
        </w:tc>
        <w:tc>
          <w:tcPr>
            <w:tcW w:w="1559" w:type="dxa"/>
            <w:tcBorders>
              <w:top w:val="single" w:sz="2" w:space="0" w:color="000000"/>
              <w:left w:val="single" w:sz="2" w:space="0" w:color="000000"/>
              <w:bottom w:val="single" w:sz="2" w:space="0" w:color="000000"/>
              <w:right w:val="single" w:sz="2" w:space="0" w:color="000000"/>
            </w:tcBorders>
            <w:vAlign w:val="center"/>
          </w:tcPr>
          <w:p w14:paraId="087D4F0A" w14:textId="77777777" w:rsidR="0022723E" w:rsidRPr="00A361B7" w:rsidRDefault="003C36C7">
            <w:pPr>
              <w:pStyle w:val="whP7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Coût production</w:t>
            </w:r>
          </w:p>
        </w:tc>
        <w:tc>
          <w:tcPr>
            <w:tcW w:w="1135" w:type="dxa"/>
            <w:tcBorders>
              <w:top w:val="single" w:sz="2" w:space="0" w:color="000000"/>
              <w:left w:val="single" w:sz="2" w:space="0" w:color="000000"/>
              <w:bottom w:val="single" w:sz="2" w:space="0" w:color="000000"/>
              <w:right w:val="single" w:sz="2" w:space="0" w:color="000000"/>
            </w:tcBorders>
            <w:vAlign w:val="center"/>
          </w:tcPr>
          <w:p w14:paraId="4A4DF53E" w14:textId="77777777" w:rsidR="0022723E" w:rsidRPr="00A361B7" w:rsidRDefault="003C36C7">
            <w:pPr>
              <w:pStyle w:val="whP7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Total</w:t>
            </w:r>
          </w:p>
        </w:tc>
      </w:tr>
      <w:tr w:rsidR="0022723E" w:rsidRPr="00C51D72" w14:paraId="0FDDB3F7"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6E5472C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Délivrance de documents ou certificats de toute nature, extraits des registres de la population, attestations, délivrés d'office ou sur demande</w:t>
            </w:r>
          </w:p>
        </w:tc>
        <w:tc>
          <w:tcPr>
            <w:tcW w:w="1207" w:type="dxa"/>
            <w:tcBorders>
              <w:top w:val="single" w:sz="2" w:space="0" w:color="000000"/>
              <w:left w:val="single" w:sz="2" w:space="0" w:color="000000"/>
              <w:bottom w:val="single" w:sz="2" w:space="0" w:color="000000"/>
              <w:right w:val="single" w:sz="2" w:space="0" w:color="000000"/>
            </w:tcBorders>
            <w:vAlign w:val="center"/>
          </w:tcPr>
          <w:p w14:paraId="38C3E31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4DEC603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003517C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1ED61AB0"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474DC494"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Légalisation d'une signature</w:t>
            </w:r>
          </w:p>
        </w:tc>
        <w:tc>
          <w:tcPr>
            <w:tcW w:w="1207" w:type="dxa"/>
            <w:tcBorders>
              <w:top w:val="single" w:sz="2" w:space="0" w:color="000000"/>
              <w:left w:val="single" w:sz="2" w:space="0" w:color="000000"/>
              <w:bottom w:val="single" w:sz="2" w:space="0" w:color="000000"/>
              <w:right w:val="single" w:sz="2" w:space="0" w:color="000000"/>
            </w:tcBorders>
            <w:vAlign w:val="center"/>
          </w:tcPr>
          <w:p w14:paraId="0D7B2C4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495F5D6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6A8F845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23645BAC"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16CA942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Copie certifiée conforme</w:t>
            </w:r>
          </w:p>
        </w:tc>
        <w:tc>
          <w:tcPr>
            <w:tcW w:w="1207" w:type="dxa"/>
            <w:tcBorders>
              <w:top w:val="single" w:sz="2" w:space="0" w:color="000000"/>
              <w:left w:val="single" w:sz="2" w:space="0" w:color="000000"/>
              <w:bottom w:val="single" w:sz="2" w:space="0" w:color="000000"/>
              <w:right w:val="single" w:sz="2" w:space="0" w:color="000000"/>
            </w:tcBorders>
            <w:vAlign w:val="center"/>
          </w:tcPr>
          <w:p w14:paraId="74A34BB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379C0B90"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78745EC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0ED8D203"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5C1DA0A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Passeport belge - procédure normale - moins de 18 ans</w:t>
            </w:r>
          </w:p>
        </w:tc>
        <w:tc>
          <w:tcPr>
            <w:tcW w:w="1207" w:type="dxa"/>
            <w:tcBorders>
              <w:top w:val="single" w:sz="2" w:space="0" w:color="000000"/>
              <w:left w:val="single" w:sz="2" w:space="0" w:color="000000"/>
              <w:bottom w:val="single" w:sz="2" w:space="0" w:color="000000"/>
              <w:right w:val="single" w:sz="2" w:space="0" w:color="000000"/>
            </w:tcBorders>
            <w:vAlign w:val="center"/>
          </w:tcPr>
          <w:p w14:paraId="77A86E2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1397697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35,00</w:t>
            </w:r>
          </w:p>
        </w:tc>
        <w:tc>
          <w:tcPr>
            <w:tcW w:w="1135" w:type="dxa"/>
            <w:tcBorders>
              <w:top w:val="single" w:sz="2" w:space="0" w:color="000000"/>
              <w:left w:val="single" w:sz="2" w:space="0" w:color="000000"/>
              <w:bottom w:val="single" w:sz="2" w:space="0" w:color="000000"/>
              <w:right w:val="single" w:sz="2" w:space="0" w:color="000000"/>
            </w:tcBorders>
            <w:vAlign w:val="center"/>
          </w:tcPr>
          <w:p w14:paraId="32B6188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40,00</w:t>
            </w:r>
          </w:p>
        </w:tc>
      </w:tr>
      <w:tr w:rsidR="0022723E" w:rsidRPr="00C51D72" w14:paraId="51536B2D"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2EFD691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Passeport belge - procédure normale - 18 ans et plus</w:t>
            </w:r>
          </w:p>
        </w:tc>
        <w:tc>
          <w:tcPr>
            <w:tcW w:w="1207" w:type="dxa"/>
            <w:tcBorders>
              <w:top w:val="single" w:sz="2" w:space="0" w:color="000000"/>
              <w:left w:val="single" w:sz="2" w:space="0" w:color="000000"/>
              <w:bottom w:val="single" w:sz="2" w:space="0" w:color="000000"/>
              <w:right w:val="single" w:sz="2" w:space="0" w:color="000000"/>
            </w:tcBorders>
            <w:vAlign w:val="center"/>
          </w:tcPr>
          <w:p w14:paraId="4AB4C94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149A9EA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65,00</w:t>
            </w:r>
          </w:p>
        </w:tc>
        <w:tc>
          <w:tcPr>
            <w:tcW w:w="1135" w:type="dxa"/>
            <w:tcBorders>
              <w:top w:val="single" w:sz="2" w:space="0" w:color="000000"/>
              <w:left w:val="single" w:sz="2" w:space="0" w:color="000000"/>
              <w:bottom w:val="single" w:sz="2" w:space="0" w:color="000000"/>
              <w:right w:val="single" w:sz="2" w:space="0" w:color="000000"/>
            </w:tcBorders>
            <w:vAlign w:val="center"/>
          </w:tcPr>
          <w:p w14:paraId="0AC5622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75,00</w:t>
            </w:r>
          </w:p>
        </w:tc>
      </w:tr>
      <w:tr w:rsidR="0022723E" w:rsidRPr="00C51D72" w14:paraId="24D383F0"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0843849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Passeport belge - procédure urgente - moins de 18 ans</w:t>
            </w:r>
          </w:p>
        </w:tc>
        <w:tc>
          <w:tcPr>
            <w:tcW w:w="1207" w:type="dxa"/>
            <w:tcBorders>
              <w:top w:val="single" w:sz="2" w:space="0" w:color="000000"/>
              <w:left w:val="single" w:sz="2" w:space="0" w:color="000000"/>
              <w:bottom w:val="single" w:sz="2" w:space="0" w:color="000000"/>
              <w:right w:val="single" w:sz="2" w:space="0" w:color="000000"/>
            </w:tcBorders>
            <w:vAlign w:val="center"/>
          </w:tcPr>
          <w:p w14:paraId="2142C6F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19D79BF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210,00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7F8823D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220,00</w:t>
            </w:r>
          </w:p>
        </w:tc>
      </w:tr>
      <w:tr w:rsidR="0022723E" w:rsidRPr="00C51D72" w14:paraId="18D5AEF4"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617954D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Passeport belge - procédure urgente - plus de 18 ans</w:t>
            </w:r>
          </w:p>
        </w:tc>
        <w:tc>
          <w:tcPr>
            <w:tcW w:w="1207" w:type="dxa"/>
            <w:tcBorders>
              <w:top w:val="single" w:sz="2" w:space="0" w:color="000000"/>
              <w:left w:val="single" w:sz="2" w:space="0" w:color="000000"/>
              <w:bottom w:val="single" w:sz="2" w:space="0" w:color="000000"/>
              <w:right w:val="single" w:sz="2" w:space="0" w:color="000000"/>
            </w:tcBorders>
            <w:vAlign w:val="center"/>
          </w:tcPr>
          <w:p w14:paraId="06B8C75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79C3815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240,00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5C4687D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260,00</w:t>
            </w:r>
          </w:p>
        </w:tc>
      </w:tr>
      <w:tr w:rsidR="0022723E" w:rsidRPr="00C51D72" w14:paraId="0CEACE64"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58A57F6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Passeport belge - procédure super urgente - moins de 18 ans</w:t>
            </w:r>
          </w:p>
        </w:tc>
        <w:tc>
          <w:tcPr>
            <w:tcW w:w="1207" w:type="dxa"/>
            <w:tcBorders>
              <w:top w:val="single" w:sz="2" w:space="0" w:color="000000"/>
              <w:left w:val="single" w:sz="2" w:space="0" w:color="000000"/>
              <w:bottom w:val="single" w:sz="2" w:space="0" w:color="000000"/>
              <w:right w:val="single" w:sz="2" w:space="0" w:color="000000"/>
            </w:tcBorders>
            <w:vAlign w:val="center"/>
          </w:tcPr>
          <w:p w14:paraId="6016B96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62D2F2A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270,00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51B44C9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280,00</w:t>
            </w:r>
          </w:p>
        </w:tc>
      </w:tr>
      <w:tr w:rsidR="0022723E" w:rsidRPr="00C51D72" w14:paraId="2D2C7B14"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26FC992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lastRenderedPageBreak/>
              <w:t>Passeport belge - procédure super urgente - plus de 18 ans</w:t>
            </w:r>
          </w:p>
        </w:tc>
        <w:tc>
          <w:tcPr>
            <w:tcW w:w="1207" w:type="dxa"/>
            <w:tcBorders>
              <w:top w:val="single" w:sz="2" w:space="0" w:color="000000"/>
              <w:left w:val="single" w:sz="2" w:space="0" w:color="000000"/>
              <w:bottom w:val="single" w:sz="2" w:space="0" w:color="000000"/>
              <w:right w:val="single" w:sz="2" w:space="0" w:color="000000"/>
            </w:tcBorders>
            <w:vAlign w:val="center"/>
          </w:tcPr>
          <w:p w14:paraId="438BA02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5E8B696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25579CF0"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320,00</w:t>
            </w:r>
          </w:p>
        </w:tc>
      </w:tr>
      <w:tr w:rsidR="0022723E" w:rsidRPr="00C51D72" w14:paraId="42BC0CEB"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1E7A8A94"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Titre de voyage, réfugié, apatride, étranger - moins de 18 ans - procédure normale</w:t>
            </w:r>
          </w:p>
        </w:tc>
        <w:tc>
          <w:tcPr>
            <w:tcW w:w="1207" w:type="dxa"/>
            <w:tcBorders>
              <w:top w:val="single" w:sz="2" w:space="0" w:color="000000"/>
              <w:left w:val="single" w:sz="2" w:space="0" w:color="000000"/>
              <w:bottom w:val="single" w:sz="2" w:space="0" w:color="000000"/>
              <w:right w:val="single" w:sz="2" w:space="0" w:color="000000"/>
            </w:tcBorders>
            <w:vAlign w:val="center"/>
          </w:tcPr>
          <w:p w14:paraId="5E23213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4,00</w:t>
            </w:r>
          </w:p>
        </w:tc>
        <w:tc>
          <w:tcPr>
            <w:tcW w:w="1559" w:type="dxa"/>
            <w:tcBorders>
              <w:top w:val="single" w:sz="2" w:space="0" w:color="000000"/>
              <w:left w:val="single" w:sz="2" w:space="0" w:color="000000"/>
              <w:bottom w:val="single" w:sz="2" w:space="0" w:color="000000"/>
              <w:right w:val="single" w:sz="2" w:space="0" w:color="000000"/>
            </w:tcBorders>
            <w:vAlign w:val="center"/>
          </w:tcPr>
          <w:p w14:paraId="04BDFF7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41,00</w:t>
            </w:r>
          </w:p>
        </w:tc>
        <w:tc>
          <w:tcPr>
            <w:tcW w:w="1135" w:type="dxa"/>
            <w:tcBorders>
              <w:top w:val="single" w:sz="2" w:space="0" w:color="000000"/>
              <w:left w:val="single" w:sz="2" w:space="0" w:color="000000"/>
              <w:bottom w:val="single" w:sz="2" w:space="0" w:color="000000"/>
              <w:right w:val="single" w:sz="2" w:space="0" w:color="000000"/>
            </w:tcBorders>
            <w:vAlign w:val="center"/>
          </w:tcPr>
          <w:p w14:paraId="07FE52D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45,00</w:t>
            </w:r>
          </w:p>
        </w:tc>
      </w:tr>
      <w:tr w:rsidR="0022723E" w:rsidRPr="00C51D72" w14:paraId="60812D8C"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434869E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Titre de voyage, réfugié, apatride, étranger - plus de 18 ans - procédure normale</w:t>
            </w:r>
          </w:p>
        </w:tc>
        <w:tc>
          <w:tcPr>
            <w:tcW w:w="1207" w:type="dxa"/>
            <w:tcBorders>
              <w:top w:val="single" w:sz="2" w:space="0" w:color="000000"/>
              <w:left w:val="single" w:sz="2" w:space="0" w:color="000000"/>
              <w:bottom w:val="single" w:sz="2" w:space="0" w:color="000000"/>
              <w:right w:val="single" w:sz="2" w:space="0" w:color="000000"/>
            </w:tcBorders>
            <w:vAlign w:val="center"/>
          </w:tcPr>
          <w:p w14:paraId="4C1407F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19,00</w:t>
            </w:r>
          </w:p>
        </w:tc>
        <w:tc>
          <w:tcPr>
            <w:tcW w:w="1559" w:type="dxa"/>
            <w:tcBorders>
              <w:top w:val="single" w:sz="2" w:space="0" w:color="000000"/>
              <w:left w:val="single" w:sz="2" w:space="0" w:color="000000"/>
              <w:bottom w:val="single" w:sz="2" w:space="0" w:color="000000"/>
              <w:right w:val="single" w:sz="2" w:space="0" w:color="000000"/>
            </w:tcBorders>
            <w:vAlign w:val="center"/>
          </w:tcPr>
          <w:p w14:paraId="3782F71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61,00</w:t>
            </w:r>
          </w:p>
        </w:tc>
        <w:tc>
          <w:tcPr>
            <w:tcW w:w="1135" w:type="dxa"/>
            <w:tcBorders>
              <w:top w:val="single" w:sz="2" w:space="0" w:color="000000"/>
              <w:left w:val="single" w:sz="2" w:space="0" w:color="000000"/>
              <w:bottom w:val="single" w:sz="2" w:space="0" w:color="000000"/>
              <w:right w:val="single" w:sz="2" w:space="0" w:color="000000"/>
            </w:tcBorders>
            <w:vAlign w:val="center"/>
          </w:tcPr>
          <w:p w14:paraId="364DC4BC"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80,00</w:t>
            </w:r>
          </w:p>
        </w:tc>
      </w:tr>
      <w:tr w:rsidR="0022723E" w:rsidRPr="00C51D72" w14:paraId="7F5E931F"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56BD381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Titre de voyage, réfugié, apatride, étranger - moins de 18 ans - procédure urgente</w:t>
            </w:r>
          </w:p>
        </w:tc>
        <w:tc>
          <w:tcPr>
            <w:tcW w:w="1207" w:type="dxa"/>
            <w:tcBorders>
              <w:top w:val="single" w:sz="2" w:space="0" w:color="000000"/>
              <w:left w:val="single" w:sz="2" w:space="0" w:color="000000"/>
              <w:bottom w:val="single" w:sz="2" w:space="0" w:color="000000"/>
              <w:right w:val="single" w:sz="2" w:space="0" w:color="000000"/>
            </w:tcBorders>
            <w:vAlign w:val="center"/>
          </w:tcPr>
          <w:p w14:paraId="341E8BB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12E3143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210,00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2C8B844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225,00</w:t>
            </w:r>
          </w:p>
        </w:tc>
      </w:tr>
      <w:tr w:rsidR="0022723E" w:rsidRPr="00C51D72" w14:paraId="6F35435C"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6A3F0BB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Titre de voyage, réfugié, apatride, étranger - plus de 18 ans - procédure urgente</w:t>
            </w:r>
          </w:p>
        </w:tc>
        <w:tc>
          <w:tcPr>
            <w:tcW w:w="1207" w:type="dxa"/>
            <w:tcBorders>
              <w:top w:val="single" w:sz="2" w:space="0" w:color="000000"/>
              <w:left w:val="single" w:sz="2" w:space="0" w:color="000000"/>
              <w:bottom w:val="single" w:sz="2" w:space="0" w:color="000000"/>
              <w:right w:val="single" w:sz="2" w:space="0" w:color="000000"/>
            </w:tcBorders>
            <w:vAlign w:val="center"/>
          </w:tcPr>
          <w:p w14:paraId="0FB1444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1E94EE4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230,00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5285B9C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265,00</w:t>
            </w:r>
          </w:p>
        </w:tc>
      </w:tr>
      <w:tr w:rsidR="0022723E" w:rsidRPr="00C51D72" w14:paraId="14BE4C08"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69661D7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Titre de voyage, réfugié, apatride, étranger - moins de 18 ans - procédure super urgente</w:t>
            </w:r>
          </w:p>
        </w:tc>
        <w:tc>
          <w:tcPr>
            <w:tcW w:w="1207" w:type="dxa"/>
            <w:tcBorders>
              <w:top w:val="single" w:sz="2" w:space="0" w:color="000000"/>
              <w:left w:val="single" w:sz="2" w:space="0" w:color="000000"/>
              <w:bottom w:val="single" w:sz="2" w:space="0" w:color="000000"/>
              <w:right w:val="single" w:sz="2" w:space="0" w:color="000000"/>
            </w:tcBorders>
            <w:vAlign w:val="center"/>
          </w:tcPr>
          <w:p w14:paraId="0D85B14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5CEFCAF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270,00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764A201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285,00</w:t>
            </w:r>
          </w:p>
        </w:tc>
      </w:tr>
      <w:tr w:rsidR="0022723E" w:rsidRPr="00C51D72" w14:paraId="0ACD2B52"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6377869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Titre de voyage, réfugié, apatride, étranger - plus de 18 ans - procédure super urgente</w:t>
            </w:r>
          </w:p>
        </w:tc>
        <w:tc>
          <w:tcPr>
            <w:tcW w:w="1207" w:type="dxa"/>
            <w:tcBorders>
              <w:top w:val="single" w:sz="2" w:space="0" w:color="000000"/>
              <w:left w:val="single" w:sz="2" w:space="0" w:color="000000"/>
              <w:bottom w:val="single" w:sz="2" w:space="0" w:color="000000"/>
              <w:right w:val="single" w:sz="2" w:space="0" w:color="000000"/>
            </w:tcBorders>
            <w:vAlign w:val="center"/>
          </w:tcPr>
          <w:p w14:paraId="7B72B407"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7A716FB1"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290,00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6CD6E2F1"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325,00</w:t>
            </w:r>
          </w:p>
        </w:tc>
      </w:tr>
      <w:tr w:rsidR="0022723E" w:rsidRPr="00C51D72" w14:paraId="0CC9C395"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7C038E5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belge de moins de 12 ans</w:t>
            </w:r>
          </w:p>
        </w:tc>
        <w:tc>
          <w:tcPr>
            <w:tcW w:w="1207" w:type="dxa"/>
            <w:tcBorders>
              <w:top w:val="single" w:sz="2" w:space="0" w:color="000000"/>
              <w:left w:val="single" w:sz="2" w:space="0" w:color="000000"/>
              <w:bottom w:val="single" w:sz="2" w:space="0" w:color="000000"/>
              <w:right w:val="single" w:sz="2" w:space="0" w:color="000000"/>
            </w:tcBorders>
            <w:vAlign w:val="center"/>
          </w:tcPr>
          <w:p w14:paraId="2F78066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0,90</w:t>
            </w:r>
          </w:p>
        </w:tc>
        <w:tc>
          <w:tcPr>
            <w:tcW w:w="1559" w:type="dxa"/>
            <w:tcBorders>
              <w:top w:val="single" w:sz="2" w:space="0" w:color="000000"/>
              <w:left w:val="single" w:sz="2" w:space="0" w:color="000000"/>
              <w:bottom w:val="single" w:sz="2" w:space="0" w:color="000000"/>
              <w:right w:val="single" w:sz="2" w:space="0" w:color="000000"/>
            </w:tcBorders>
            <w:vAlign w:val="center"/>
          </w:tcPr>
          <w:p w14:paraId="2A9B829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8,10</w:t>
            </w:r>
          </w:p>
        </w:tc>
        <w:tc>
          <w:tcPr>
            <w:tcW w:w="1135" w:type="dxa"/>
            <w:tcBorders>
              <w:top w:val="single" w:sz="2" w:space="0" w:color="000000"/>
              <w:left w:val="single" w:sz="2" w:space="0" w:color="000000"/>
              <w:bottom w:val="single" w:sz="2" w:space="0" w:color="000000"/>
              <w:right w:val="single" w:sz="2" w:space="0" w:color="000000"/>
            </w:tcBorders>
            <w:vAlign w:val="center"/>
          </w:tcPr>
          <w:p w14:paraId="2AEE2337"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9,00</w:t>
            </w:r>
          </w:p>
        </w:tc>
      </w:tr>
      <w:tr w:rsidR="0022723E" w:rsidRPr="00C51D72" w14:paraId="60E37173"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3360F35C"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belge de 12 ans et plus</w:t>
            </w:r>
          </w:p>
        </w:tc>
        <w:tc>
          <w:tcPr>
            <w:tcW w:w="1207" w:type="dxa"/>
            <w:tcBorders>
              <w:top w:val="single" w:sz="2" w:space="0" w:color="000000"/>
              <w:left w:val="single" w:sz="2" w:space="0" w:color="000000"/>
              <w:bottom w:val="single" w:sz="2" w:space="0" w:color="000000"/>
              <w:right w:val="single" w:sz="2" w:space="0" w:color="000000"/>
            </w:tcBorders>
            <w:vAlign w:val="center"/>
          </w:tcPr>
          <w:p w14:paraId="2964EE2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5,90</w:t>
            </w:r>
          </w:p>
        </w:tc>
        <w:tc>
          <w:tcPr>
            <w:tcW w:w="1559" w:type="dxa"/>
            <w:tcBorders>
              <w:top w:val="single" w:sz="2" w:space="0" w:color="000000"/>
              <w:left w:val="single" w:sz="2" w:space="0" w:color="000000"/>
              <w:bottom w:val="single" w:sz="2" w:space="0" w:color="000000"/>
              <w:right w:val="single" w:sz="2" w:space="0" w:color="000000"/>
            </w:tcBorders>
            <w:vAlign w:val="center"/>
          </w:tcPr>
          <w:p w14:paraId="2011574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20,10</w:t>
            </w:r>
          </w:p>
        </w:tc>
        <w:tc>
          <w:tcPr>
            <w:tcW w:w="1135" w:type="dxa"/>
            <w:tcBorders>
              <w:top w:val="single" w:sz="2" w:space="0" w:color="000000"/>
              <w:left w:val="single" w:sz="2" w:space="0" w:color="000000"/>
              <w:bottom w:val="single" w:sz="2" w:space="0" w:color="000000"/>
              <w:right w:val="single" w:sz="2" w:space="0" w:color="000000"/>
            </w:tcBorders>
            <w:vAlign w:val="center"/>
          </w:tcPr>
          <w:p w14:paraId="544E74C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26,00</w:t>
            </w:r>
          </w:p>
        </w:tc>
      </w:tr>
      <w:tr w:rsidR="0022723E" w:rsidRPr="00C51D72" w14:paraId="1D544E0D"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1084439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belge de moins de 12 ans en urgence (livraison carte + codes à la commune)</w:t>
            </w:r>
          </w:p>
        </w:tc>
        <w:tc>
          <w:tcPr>
            <w:tcW w:w="1207" w:type="dxa"/>
            <w:tcBorders>
              <w:top w:val="single" w:sz="2" w:space="0" w:color="000000"/>
              <w:left w:val="single" w:sz="2" w:space="0" w:color="000000"/>
              <w:bottom w:val="single" w:sz="2" w:space="0" w:color="000000"/>
              <w:right w:val="single" w:sz="2" w:space="0" w:color="000000"/>
            </w:tcBorders>
            <w:vAlign w:val="center"/>
          </w:tcPr>
          <w:p w14:paraId="3D21A02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10,40</w:t>
            </w:r>
          </w:p>
        </w:tc>
        <w:tc>
          <w:tcPr>
            <w:tcW w:w="1559" w:type="dxa"/>
            <w:tcBorders>
              <w:top w:val="single" w:sz="2" w:space="0" w:color="000000"/>
              <w:left w:val="single" w:sz="2" w:space="0" w:color="000000"/>
              <w:bottom w:val="single" w:sz="2" w:space="0" w:color="000000"/>
              <w:right w:val="single" w:sz="2" w:space="0" w:color="000000"/>
            </w:tcBorders>
            <w:vAlign w:val="center"/>
          </w:tcPr>
          <w:p w14:paraId="4E0A60D2"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110,60</w:t>
            </w:r>
          </w:p>
        </w:tc>
        <w:tc>
          <w:tcPr>
            <w:tcW w:w="1135" w:type="dxa"/>
            <w:tcBorders>
              <w:top w:val="single" w:sz="2" w:space="0" w:color="000000"/>
              <w:left w:val="single" w:sz="2" w:space="0" w:color="000000"/>
              <w:bottom w:val="single" w:sz="2" w:space="0" w:color="000000"/>
              <w:right w:val="single" w:sz="2" w:space="0" w:color="000000"/>
            </w:tcBorders>
            <w:vAlign w:val="center"/>
          </w:tcPr>
          <w:p w14:paraId="7F3131E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121,00</w:t>
            </w:r>
          </w:p>
        </w:tc>
      </w:tr>
      <w:tr w:rsidR="0022723E" w:rsidRPr="00C51D72" w14:paraId="7CE3545F"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4643083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belge de 12 ans et plus en urgence (livraison carte + codes à la commune)</w:t>
            </w:r>
          </w:p>
        </w:tc>
        <w:tc>
          <w:tcPr>
            <w:tcW w:w="1207" w:type="dxa"/>
            <w:tcBorders>
              <w:top w:val="single" w:sz="2" w:space="0" w:color="000000"/>
              <w:left w:val="single" w:sz="2" w:space="0" w:color="000000"/>
              <w:bottom w:val="single" w:sz="2" w:space="0" w:color="000000"/>
              <w:right w:val="single" w:sz="2" w:space="0" w:color="000000"/>
            </w:tcBorders>
            <w:vAlign w:val="center"/>
          </w:tcPr>
          <w:p w14:paraId="149DED8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10,40</w:t>
            </w:r>
          </w:p>
        </w:tc>
        <w:tc>
          <w:tcPr>
            <w:tcW w:w="1559" w:type="dxa"/>
            <w:tcBorders>
              <w:top w:val="single" w:sz="2" w:space="0" w:color="000000"/>
              <w:left w:val="single" w:sz="2" w:space="0" w:color="000000"/>
              <w:bottom w:val="single" w:sz="2" w:space="0" w:color="000000"/>
              <w:right w:val="single" w:sz="2" w:space="0" w:color="000000"/>
            </w:tcBorders>
            <w:vAlign w:val="center"/>
          </w:tcPr>
          <w:p w14:paraId="09AD666D"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122,60</w:t>
            </w:r>
          </w:p>
        </w:tc>
        <w:tc>
          <w:tcPr>
            <w:tcW w:w="1135" w:type="dxa"/>
            <w:tcBorders>
              <w:top w:val="single" w:sz="2" w:space="0" w:color="000000"/>
              <w:left w:val="single" w:sz="2" w:space="0" w:color="000000"/>
              <w:bottom w:val="single" w:sz="2" w:space="0" w:color="000000"/>
              <w:right w:val="single" w:sz="2" w:space="0" w:color="000000"/>
            </w:tcBorders>
            <w:vAlign w:val="center"/>
          </w:tcPr>
          <w:p w14:paraId="5C3F210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133,00</w:t>
            </w:r>
          </w:p>
        </w:tc>
      </w:tr>
      <w:tr w:rsidR="0022723E" w:rsidRPr="00C51D72" w14:paraId="09FB2E21"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3828B54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belge de moins de 12 ans en extrême urgence (livraison centralisée carte + codes au SPF)</w:t>
            </w:r>
          </w:p>
        </w:tc>
        <w:tc>
          <w:tcPr>
            <w:tcW w:w="1207" w:type="dxa"/>
            <w:tcBorders>
              <w:top w:val="single" w:sz="2" w:space="0" w:color="000000"/>
              <w:left w:val="single" w:sz="2" w:space="0" w:color="000000"/>
              <w:bottom w:val="single" w:sz="2" w:space="0" w:color="000000"/>
              <w:right w:val="single" w:sz="2" w:space="0" w:color="000000"/>
            </w:tcBorders>
            <w:vAlign w:val="center"/>
          </w:tcPr>
          <w:p w14:paraId="0CBE321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10,60</w:t>
            </w:r>
          </w:p>
        </w:tc>
        <w:tc>
          <w:tcPr>
            <w:tcW w:w="1559" w:type="dxa"/>
            <w:tcBorders>
              <w:top w:val="single" w:sz="2" w:space="0" w:color="000000"/>
              <w:left w:val="single" w:sz="2" w:space="0" w:color="000000"/>
              <w:bottom w:val="single" w:sz="2" w:space="0" w:color="000000"/>
              <w:right w:val="single" w:sz="2" w:space="0" w:color="000000"/>
            </w:tcBorders>
            <w:vAlign w:val="center"/>
          </w:tcPr>
          <w:p w14:paraId="77946E0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161,40</w:t>
            </w:r>
          </w:p>
        </w:tc>
        <w:tc>
          <w:tcPr>
            <w:tcW w:w="1135" w:type="dxa"/>
            <w:tcBorders>
              <w:top w:val="single" w:sz="2" w:space="0" w:color="000000"/>
              <w:left w:val="single" w:sz="2" w:space="0" w:color="000000"/>
              <w:bottom w:val="single" w:sz="2" w:space="0" w:color="000000"/>
              <w:right w:val="single" w:sz="2" w:space="0" w:color="000000"/>
            </w:tcBorders>
            <w:vAlign w:val="center"/>
          </w:tcPr>
          <w:p w14:paraId="144DDBE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172,00</w:t>
            </w:r>
          </w:p>
        </w:tc>
      </w:tr>
      <w:tr w:rsidR="0022723E" w:rsidRPr="00C51D72" w14:paraId="6750EFCB"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0425545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belge de 12 ans et plus en extrême urgence (livraison centralisée carte + codes au SPF)</w:t>
            </w:r>
          </w:p>
        </w:tc>
        <w:tc>
          <w:tcPr>
            <w:tcW w:w="1207" w:type="dxa"/>
            <w:tcBorders>
              <w:top w:val="single" w:sz="2" w:space="0" w:color="000000"/>
              <w:left w:val="single" w:sz="2" w:space="0" w:color="000000"/>
              <w:bottom w:val="single" w:sz="2" w:space="0" w:color="000000"/>
              <w:right w:val="single" w:sz="2" w:space="0" w:color="000000"/>
            </w:tcBorders>
            <w:vAlign w:val="center"/>
          </w:tcPr>
          <w:p w14:paraId="2721A231"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8,60</w:t>
            </w:r>
          </w:p>
        </w:tc>
        <w:tc>
          <w:tcPr>
            <w:tcW w:w="1559" w:type="dxa"/>
            <w:tcBorders>
              <w:top w:val="single" w:sz="2" w:space="0" w:color="000000"/>
              <w:left w:val="single" w:sz="2" w:space="0" w:color="000000"/>
              <w:bottom w:val="single" w:sz="2" w:space="0" w:color="000000"/>
              <w:right w:val="single" w:sz="2" w:space="0" w:color="000000"/>
            </w:tcBorders>
            <w:vAlign w:val="center"/>
          </w:tcPr>
          <w:p w14:paraId="5057ECB2"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149,40</w:t>
            </w:r>
          </w:p>
        </w:tc>
        <w:tc>
          <w:tcPr>
            <w:tcW w:w="1135" w:type="dxa"/>
            <w:tcBorders>
              <w:top w:val="single" w:sz="2" w:space="0" w:color="000000"/>
              <w:left w:val="single" w:sz="2" w:space="0" w:color="000000"/>
              <w:bottom w:val="single" w:sz="2" w:space="0" w:color="000000"/>
              <w:right w:val="single" w:sz="2" w:space="0" w:color="000000"/>
            </w:tcBorders>
            <w:vAlign w:val="center"/>
          </w:tcPr>
          <w:p w14:paraId="582039A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158,00</w:t>
            </w:r>
          </w:p>
        </w:tc>
      </w:tr>
      <w:tr w:rsidR="0022723E" w:rsidRPr="00C51D72" w14:paraId="1A76C49F"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270C321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moins de 12 ans - Art 1er alinéa 1, 4, F à L, M (UE)</w:t>
            </w:r>
          </w:p>
        </w:tc>
        <w:tc>
          <w:tcPr>
            <w:tcW w:w="1207" w:type="dxa"/>
            <w:tcBorders>
              <w:top w:val="single" w:sz="2" w:space="0" w:color="000000"/>
              <w:left w:val="single" w:sz="2" w:space="0" w:color="000000"/>
              <w:bottom w:val="single" w:sz="2" w:space="0" w:color="000000"/>
              <w:right w:val="single" w:sz="2" w:space="0" w:color="000000"/>
            </w:tcBorders>
            <w:vAlign w:val="center"/>
          </w:tcPr>
          <w:p w14:paraId="19E95832"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0,90</w:t>
            </w:r>
          </w:p>
        </w:tc>
        <w:tc>
          <w:tcPr>
            <w:tcW w:w="1559" w:type="dxa"/>
            <w:tcBorders>
              <w:top w:val="single" w:sz="2" w:space="0" w:color="000000"/>
              <w:left w:val="single" w:sz="2" w:space="0" w:color="000000"/>
              <w:bottom w:val="single" w:sz="2" w:space="0" w:color="000000"/>
              <w:right w:val="single" w:sz="2" w:space="0" w:color="000000"/>
            </w:tcBorders>
            <w:vAlign w:val="center"/>
          </w:tcPr>
          <w:p w14:paraId="27E93B7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8,10</w:t>
            </w:r>
          </w:p>
        </w:tc>
        <w:tc>
          <w:tcPr>
            <w:tcW w:w="1135" w:type="dxa"/>
            <w:tcBorders>
              <w:top w:val="single" w:sz="2" w:space="0" w:color="000000"/>
              <w:left w:val="single" w:sz="2" w:space="0" w:color="000000"/>
              <w:bottom w:val="single" w:sz="2" w:space="0" w:color="000000"/>
              <w:right w:val="single" w:sz="2" w:space="0" w:color="000000"/>
            </w:tcBorders>
            <w:vAlign w:val="center"/>
          </w:tcPr>
          <w:p w14:paraId="399B6B7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9,00</w:t>
            </w:r>
          </w:p>
        </w:tc>
      </w:tr>
      <w:tr w:rsidR="0022723E" w:rsidRPr="00C51D72" w14:paraId="727CF78E"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5961BC0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12 ans et plus - Art 1er alinéa 1, 4, F à L, N et M (UE)</w:t>
            </w:r>
          </w:p>
        </w:tc>
        <w:tc>
          <w:tcPr>
            <w:tcW w:w="1207" w:type="dxa"/>
            <w:tcBorders>
              <w:top w:val="single" w:sz="2" w:space="0" w:color="000000"/>
              <w:left w:val="single" w:sz="2" w:space="0" w:color="000000"/>
              <w:bottom w:val="single" w:sz="2" w:space="0" w:color="000000"/>
              <w:right w:val="single" w:sz="2" w:space="0" w:color="000000"/>
            </w:tcBorders>
            <w:vAlign w:val="center"/>
          </w:tcPr>
          <w:p w14:paraId="1578836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5,90</w:t>
            </w:r>
          </w:p>
        </w:tc>
        <w:tc>
          <w:tcPr>
            <w:tcW w:w="1559" w:type="dxa"/>
            <w:tcBorders>
              <w:top w:val="single" w:sz="2" w:space="0" w:color="000000"/>
              <w:left w:val="single" w:sz="2" w:space="0" w:color="000000"/>
              <w:bottom w:val="single" w:sz="2" w:space="0" w:color="000000"/>
              <w:right w:val="single" w:sz="2" w:space="0" w:color="000000"/>
            </w:tcBorders>
            <w:vAlign w:val="center"/>
          </w:tcPr>
          <w:p w14:paraId="4B562591"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20,10</w:t>
            </w:r>
          </w:p>
        </w:tc>
        <w:tc>
          <w:tcPr>
            <w:tcW w:w="1135" w:type="dxa"/>
            <w:tcBorders>
              <w:top w:val="single" w:sz="2" w:space="0" w:color="000000"/>
              <w:left w:val="single" w:sz="2" w:space="0" w:color="000000"/>
              <w:bottom w:val="single" w:sz="2" w:space="0" w:color="000000"/>
              <w:right w:val="single" w:sz="2" w:space="0" w:color="000000"/>
            </w:tcBorders>
            <w:vAlign w:val="center"/>
          </w:tcPr>
          <w:p w14:paraId="42EBFE0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26,00</w:t>
            </w:r>
          </w:p>
        </w:tc>
      </w:tr>
      <w:tr w:rsidR="0022723E" w:rsidRPr="00C51D72" w14:paraId="762012F7"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3F31F87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moins de 12 ans - Art 1er alinéa 1, 4, A, B, D, E, K, L</w:t>
            </w:r>
          </w:p>
        </w:tc>
        <w:tc>
          <w:tcPr>
            <w:tcW w:w="1207" w:type="dxa"/>
            <w:tcBorders>
              <w:top w:val="single" w:sz="2" w:space="0" w:color="000000"/>
              <w:left w:val="single" w:sz="2" w:space="0" w:color="000000"/>
              <w:bottom w:val="single" w:sz="2" w:space="0" w:color="000000"/>
              <w:right w:val="single" w:sz="2" w:space="0" w:color="000000"/>
            </w:tcBorders>
            <w:vAlign w:val="center"/>
          </w:tcPr>
          <w:p w14:paraId="7B1522F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1,70</w:t>
            </w:r>
          </w:p>
        </w:tc>
        <w:tc>
          <w:tcPr>
            <w:tcW w:w="1559" w:type="dxa"/>
            <w:tcBorders>
              <w:top w:val="single" w:sz="2" w:space="0" w:color="000000"/>
              <w:left w:val="single" w:sz="2" w:space="0" w:color="000000"/>
              <w:bottom w:val="single" w:sz="2" w:space="0" w:color="000000"/>
              <w:right w:val="single" w:sz="2" w:space="0" w:color="000000"/>
            </w:tcBorders>
            <w:vAlign w:val="center"/>
          </w:tcPr>
          <w:p w14:paraId="74EBAA6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11,30</w:t>
            </w:r>
          </w:p>
        </w:tc>
        <w:tc>
          <w:tcPr>
            <w:tcW w:w="1135" w:type="dxa"/>
            <w:tcBorders>
              <w:top w:val="single" w:sz="2" w:space="0" w:color="000000"/>
              <w:left w:val="single" w:sz="2" w:space="0" w:color="000000"/>
              <w:bottom w:val="single" w:sz="2" w:space="0" w:color="000000"/>
              <w:right w:val="single" w:sz="2" w:space="0" w:color="000000"/>
            </w:tcBorders>
            <w:vAlign w:val="center"/>
          </w:tcPr>
          <w:p w14:paraId="0FF6477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13,00</w:t>
            </w:r>
          </w:p>
        </w:tc>
      </w:tr>
      <w:tr w:rsidR="0022723E" w:rsidRPr="00C51D72" w14:paraId="7E3F30CF"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4784882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12 ans et plus - Art 1er alinéa 1, 4, A à E, H, I, J, K, L, M, N</w:t>
            </w:r>
          </w:p>
        </w:tc>
        <w:tc>
          <w:tcPr>
            <w:tcW w:w="1207" w:type="dxa"/>
            <w:tcBorders>
              <w:top w:val="single" w:sz="2" w:space="0" w:color="000000"/>
              <w:left w:val="single" w:sz="2" w:space="0" w:color="000000"/>
              <w:bottom w:val="single" w:sz="2" w:space="0" w:color="000000"/>
              <w:right w:val="single" w:sz="2" w:space="0" w:color="000000"/>
            </w:tcBorders>
            <w:vAlign w:val="center"/>
          </w:tcPr>
          <w:p w14:paraId="4268859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5,30</w:t>
            </w:r>
          </w:p>
        </w:tc>
        <w:tc>
          <w:tcPr>
            <w:tcW w:w="1559" w:type="dxa"/>
            <w:tcBorders>
              <w:top w:val="single" w:sz="2" w:space="0" w:color="000000"/>
              <w:left w:val="single" w:sz="2" w:space="0" w:color="000000"/>
              <w:bottom w:val="single" w:sz="2" w:space="0" w:color="000000"/>
              <w:right w:val="single" w:sz="2" w:space="0" w:color="000000"/>
            </w:tcBorders>
            <w:vAlign w:val="center"/>
          </w:tcPr>
          <w:p w14:paraId="3EDA56B0"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20,70</w:t>
            </w:r>
          </w:p>
        </w:tc>
        <w:tc>
          <w:tcPr>
            <w:tcW w:w="1135" w:type="dxa"/>
            <w:tcBorders>
              <w:top w:val="single" w:sz="2" w:space="0" w:color="000000"/>
              <w:left w:val="single" w:sz="2" w:space="0" w:color="000000"/>
              <w:bottom w:val="single" w:sz="2" w:space="0" w:color="000000"/>
              <w:right w:val="single" w:sz="2" w:space="0" w:color="000000"/>
            </w:tcBorders>
            <w:vAlign w:val="center"/>
          </w:tcPr>
          <w:p w14:paraId="593C6D6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26,00</w:t>
            </w:r>
          </w:p>
        </w:tc>
      </w:tr>
      <w:tr w:rsidR="0022723E" w:rsidRPr="00C51D72" w14:paraId="7C8C2590"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59406E3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moins de 12 ans - Art 1er alinéa 1, 4, H, I, J, N</w:t>
            </w:r>
          </w:p>
        </w:tc>
        <w:tc>
          <w:tcPr>
            <w:tcW w:w="1207" w:type="dxa"/>
            <w:tcBorders>
              <w:top w:val="single" w:sz="2" w:space="0" w:color="000000"/>
              <w:left w:val="single" w:sz="2" w:space="0" w:color="000000"/>
              <w:bottom w:val="single" w:sz="2" w:space="0" w:color="000000"/>
              <w:right w:val="single" w:sz="2" w:space="0" w:color="000000"/>
            </w:tcBorders>
            <w:vAlign w:val="center"/>
          </w:tcPr>
          <w:p w14:paraId="17D0CE9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4091F01D"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39B5550A"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0,00</w:t>
            </w:r>
          </w:p>
        </w:tc>
      </w:tr>
      <w:tr w:rsidR="0022723E" w:rsidRPr="00C51D72" w14:paraId="393C1812"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278A09B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moins de 12 ans - Art 1er alinéa 1, 4, F à L (UE) en urgence (livraison carte + codes à la commune)</w:t>
            </w:r>
          </w:p>
        </w:tc>
        <w:tc>
          <w:tcPr>
            <w:tcW w:w="1207" w:type="dxa"/>
            <w:tcBorders>
              <w:top w:val="single" w:sz="2" w:space="0" w:color="000000"/>
              <w:left w:val="single" w:sz="2" w:space="0" w:color="000000"/>
              <w:bottom w:val="single" w:sz="2" w:space="0" w:color="000000"/>
              <w:right w:val="single" w:sz="2" w:space="0" w:color="000000"/>
            </w:tcBorders>
            <w:vAlign w:val="center"/>
          </w:tcPr>
          <w:p w14:paraId="75A3637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10,40</w:t>
            </w:r>
          </w:p>
        </w:tc>
        <w:tc>
          <w:tcPr>
            <w:tcW w:w="1559" w:type="dxa"/>
            <w:tcBorders>
              <w:top w:val="single" w:sz="2" w:space="0" w:color="000000"/>
              <w:left w:val="single" w:sz="2" w:space="0" w:color="000000"/>
              <w:bottom w:val="single" w:sz="2" w:space="0" w:color="000000"/>
              <w:right w:val="single" w:sz="2" w:space="0" w:color="000000"/>
            </w:tcBorders>
            <w:vAlign w:val="center"/>
          </w:tcPr>
          <w:p w14:paraId="182B5F4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110,60</w:t>
            </w:r>
          </w:p>
        </w:tc>
        <w:tc>
          <w:tcPr>
            <w:tcW w:w="1135" w:type="dxa"/>
            <w:tcBorders>
              <w:top w:val="single" w:sz="2" w:space="0" w:color="000000"/>
              <w:left w:val="single" w:sz="2" w:space="0" w:color="000000"/>
              <w:bottom w:val="single" w:sz="2" w:space="0" w:color="000000"/>
              <w:right w:val="single" w:sz="2" w:space="0" w:color="000000"/>
            </w:tcBorders>
            <w:vAlign w:val="center"/>
          </w:tcPr>
          <w:p w14:paraId="52F26C9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121,00</w:t>
            </w:r>
          </w:p>
        </w:tc>
      </w:tr>
      <w:tr w:rsidR="0022723E" w:rsidRPr="00C51D72" w14:paraId="1A1366BB"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51744E1E"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plus de 12 ans - Art 1er alinéa 1, 4, F à L (UE) en urgence (livraison carte + codes à la commune)</w:t>
            </w:r>
          </w:p>
        </w:tc>
        <w:tc>
          <w:tcPr>
            <w:tcW w:w="1207" w:type="dxa"/>
            <w:tcBorders>
              <w:top w:val="single" w:sz="2" w:space="0" w:color="000000"/>
              <w:left w:val="single" w:sz="2" w:space="0" w:color="000000"/>
              <w:bottom w:val="single" w:sz="2" w:space="0" w:color="000000"/>
              <w:right w:val="single" w:sz="2" w:space="0" w:color="000000"/>
            </w:tcBorders>
            <w:vAlign w:val="center"/>
          </w:tcPr>
          <w:p w14:paraId="75E5BE1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10,40</w:t>
            </w:r>
          </w:p>
        </w:tc>
        <w:tc>
          <w:tcPr>
            <w:tcW w:w="1559" w:type="dxa"/>
            <w:tcBorders>
              <w:top w:val="single" w:sz="2" w:space="0" w:color="000000"/>
              <w:left w:val="single" w:sz="2" w:space="0" w:color="000000"/>
              <w:bottom w:val="single" w:sz="2" w:space="0" w:color="000000"/>
              <w:right w:val="single" w:sz="2" w:space="0" w:color="000000"/>
            </w:tcBorders>
            <w:vAlign w:val="center"/>
          </w:tcPr>
          <w:p w14:paraId="09BA9FD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122,60</w:t>
            </w:r>
          </w:p>
        </w:tc>
        <w:tc>
          <w:tcPr>
            <w:tcW w:w="1135" w:type="dxa"/>
            <w:tcBorders>
              <w:top w:val="single" w:sz="2" w:space="0" w:color="000000"/>
              <w:left w:val="single" w:sz="2" w:space="0" w:color="000000"/>
              <w:bottom w:val="single" w:sz="2" w:space="0" w:color="000000"/>
              <w:right w:val="single" w:sz="2" w:space="0" w:color="000000"/>
            </w:tcBorders>
            <w:vAlign w:val="center"/>
          </w:tcPr>
          <w:p w14:paraId="579213E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133,00</w:t>
            </w:r>
          </w:p>
        </w:tc>
      </w:tr>
      <w:tr w:rsidR="0022723E" w:rsidRPr="00C51D72" w14:paraId="7F1DC5DD"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7558E28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moins de 12 ans - Art 1er alinéa 1, 4, A, B, D, E en urgence (livraison carte + codes à la commune)</w:t>
            </w:r>
          </w:p>
        </w:tc>
        <w:tc>
          <w:tcPr>
            <w:tcW w:w="1207" w:type="dxa"/>
            <w:tcBorders>
              <w:top w:val="single" w:sz="2" w:space="0" w:color="000000"/>
              <w:left w:val="single" w:sz="2" w:space="0" w:color="000000"/>
              <w:bottom w:val="single" w:sz="2" w:space="0" w:color="000000"/>
              <w:right w:val="single" w:sz="2" w:space="0" w:color="000000"/>
            </w:tcBorders>
            <w:vAlign w:val="center"/>
          </w:tcPr>
          <w:p w14:paraId="6DF769F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10,40</w:t>
            </w:r>
          </w:p>
        </w:tc>
        <w:tc>
          <w:tcPr>
            <w:tcW w:w="1559" w:type="dxa"/>
            <w:tcBorders>
              <w:top w:val="single" w:sz="2" w:space="0" w:color="000000"/>
              <w:left w:val="single" w:sz="2" w:space="0" w:color="000000"/>
              <w:bottom w:val="single" w:sz="2" w:space="0" w:color="000000"/>
              <w:right w:val="single" w:sz="2" w:space="0" w:color="000000"/>
            </w:tcBorders>
            <w:vAlign w:val="center"/>
          </w:tcPr>
          <w:p w14:paraId="47AA5FBC"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122,60</w:t>
            </w:r>
          </w:p>
        </w:tc>
        <w:tc>
          <w:tcPr>
            <w:tcW w:w="1135" w:type="dxa"/>
            <w:tcBorders>
              <w:top w:val="single" w:sz="2" w:space="0" w:color="000000"/>
              <w:left w:val="single" w:sz="2" w:space="0" w:color="000000"/>
              <w:bottom w:val="single" w:sz="2" w:space="0" w:color="000000"/>
              <w:right w:val="single" w:sz="2" w:space="0" w:color="000000"/>
            </w:tcBorders>
            <w:vAlign w:val="center"/>
          </w:tcPr>
          <w:p w14:paraId="6E279220"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133,00</w:t>
            </w:r>
          </w:p>
        </w:tc>
      </w:tr>
      <w:tr w:rsidR="0022723E" w:rsidRPr="00C51D72" w14:paraId="7292EE36"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343CB36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Carte d'identité électronique pour étranger de 12 ans et plus - Art 1er alinéa 1, 4, A à E, M, N en urgence (livraison carte + codes à la commune)</w:t>
            </w:r>
          </w:p>
        </w:tc>
        <w:tc>
          <w:tcPr>
            <w:tcW w:w="1207" w:type="dxa"/>
            <w:tcBorders>
              <w:top w:val="single" w:sz="2" w:space="0" w:color="000000"/>
              <w:left w:val="single" w:sz="2" w:space="0" w:color="000000"/>
              <w:bottom w:val="single" w:sz="2" w:space="0" w:color="000000"/>
              <w:right w:val="single" w:sz="2" w:space="0" w:color="000000"/>
            </w:tcBorders>
            <w:vAlign w:val="center"/>
          </w:tcPr>
          <w:p w14:paraId="17BA996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10,40</w:t>
            </w:r>
          </w:p>
        </w:tc>
        <w:tc>
          <w:tcPr>
            <w:tcW w:w="1559" w:type="dxa"/>
            <w:tcBorders>
              <w:top w:val="single" w:sz="2" w:space="0" w:color="000000"/>
              <w:left w:val="single" w:sz="2" w:space="0" w:color="000000"/>
              <w:bottom w:val="single" w:sz="2" w:space="0" w:color="000000"/>
              <w:right w:val="single" w:sz="2" w:space="0" w:color="000000"/>
            </w:tcBorders>
            <w:vAlign w:val="center"/>
          </w:tcPr>
          <w:p w14:paraId="6C9D013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122,60</w:t>
            </w:r>
          </w:p>
        </w:tc>
        <w:tc>
          <w:tcPr>
            <w:tcW w:w="1135" w:type="dxa"/>
            <w:tcBorders>
              <w:top w:val="single" w:sz="2" w:space="0" w:color="000000"/>
              <w:left w:val="single" w:sz="2" w:space="0" w:color="000000"/>
              <w:bottom w:val="single" w:sz="2" w:space="0" w:color="000000"/>
              <w:right w:val="single" w:sz="2" w:space="0" w:color="000000"/>
            </w:tcBorders>
            <w:vAlign w:val="center"/>
          </w:tcPr>
          <w:p w14:paraId="5E44057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133,00</w:t>
            </w:r>
          </w:p>
        </w:tc>
      </w:tr>
      <w:tr w:rsidR="0022723E" w:rsidRPr="00C51D72" w14:paraId="5E79EE23"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09C9861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Extraits d'Etat civil repris dans la BAEC</w:t>
            </w:r>
          </w:p>
        </w:tc>
        <w:tc>
          <w:tcPr>
            <w:tcW w:w="1207" w:type="dxa"/>
            <w:tcBorders>
              <w:top w:val="single" w:sz="2" w:space="0" w:color="000000"/>
              <w:left w:val="single" w:sz="2" w:space="0" w:color="000000"/>
              <w:bottom w:val="single" w:sz="2" w:space="0" w:color="000000"/>
              <w:right w:val="single" w:sz="2" w:space="0" w:color="000000"/>
            </w:tcBorders>
            <w:vAlign w:val="center"/>
          </w:tcPr>
          <w:p w14:paraId="132A704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5E22560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664ACBD1"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6BD3FF3F"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06B18D0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Extraits d'Etat civil non repris dans la BAEC</w:t>
            </w:r>
          </w:p>
        </w:tc>
        <w:tc>
          <w:tcPr>
            <w:tcW w:w="1207" w:type="dxa"/>
            <w:tcBorders>
              <w:top w:val="single" w:sz="2" w:space="0" w:color="000000"/>
              <w:left w:val="single" w:sz="2" w:space="0" w:color="000000"/>
              <w:bottom w:val="single" w:sz="2" w:space="0" w:color="000000"/>
              <w:right w:val="single" w:sz="2" w:space="0" w:color="000000"/>
            </w:tcBorders>
            <w:vAlign w:val="center"/>
          </w:tcPr>
          <w:p w14:paraId="647D31D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31EE0A8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1417B052"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417BE6E9"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3EF3FC5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Extrait du fichier central de la Délinquance Environnementale et du bien-être animal</w:t>
            </w:r>
          </w:p>
        </w:tc>
        <w:tc>
          <w:tcPr>
            <w:tcW w:w="1207" w:type="dxa"/>
            <w:tcBorders>
              <w:top w:val="single" w:sz="2" w:space="0" w:color="000000"/>
              <w:left w:val="single" w:sz="2" w:space="0" w:color="000000"/>
              <w:bottom w:val="single" w:sz="2" w:space="0" w:color="000000"/>
              <w:right w:val="single" w:sz="2" w:space="0" w:color="000000"/>
            </w:tcBorders>
            <w:vAlign w:val="center"/>
          </w:tcPr>
          <w:p w14:paraId="3124512D"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594AEE5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2AA61B8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w:t>
            </w:r>
          </w:p>
        </w:tc>
      </w:tr>
      <w:tr w:rsidR="0022723E" w:rsidRPr="00C51D72" w14:paraId="2E0464CC"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495647B2"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Déclaration de nationalité</w:t>
            </w:r>
          </w:p>
        </w:tc>
        <w:tc>
          <w:tcPr>
            <w:tcW w:w="1207" w:type="dxa"/>
            <w:tcBorders>
              <w:top w:val="single" w:sz="2" w:space="0" w:color="000000"/>
              <w:left w:val="single" w:sz="2" w:space="0" w:color="000000"/>
              <w:bottom w:val="single" w:sz="2" w:space="0" w:color="000000"/>
              <w:right w:val="single" w:sz="2" w:space="0" w:color="000000"/>
            </w:tcBorders>
            <w:vAlign w:val="center"/>
          </w:tcPr>
          <w:p w14:paraId="0E09435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40,00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14694BFB"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26949AD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40,00</w:t>
            </w:r>
          </w:p>
        </w:tc>
      </w:tr>
      <w:tr w:rsidR="0022723E" w:rsidRPr="00C51D72" w14:paraId="0535A0A8"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799BBF4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Extraits du casier judiciaire</w:t>
            </w:r>
          </w:p>
        </w:tc>
        <w:tc>
          <w:tcPr>
            <w:tcW w:w="1207" w:type="dxa"/>
            <w:tcBorders>
              <w:top w:val="single" w:sz="2" w:space="0" w:color="000000"/>
              <w:left w:val="single" w:sz="2" w:space="0" w:color="000000"/>
              <w:bottom w:val="single" w:sz="2" w:space="0" w:color="000000"/>
              <w:right w:val="single" w:sz="2" w:space="0" w:color="000000"/>
            </w:tcBorders>
            <w:vAlign w:val="center"/>
          </w:tcPr>
          <w:p w14:paraId="6705C01C"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62A7F0B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5FCAE16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50703CDD"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7561130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Demande d'adresse (par adresse)</w:t>
            </w:r>
          </w:p>
        </w:tc>
        <w:tc>
          <w:tcPr>
            <w:tcW w:w="1207" w:type="dxa"/>
            <w:tcBorders>
              <w:top w:val="single" w:sz="2" w:space="0" w:color="000000"/>
              <w:left w:val="single" w:sz="2" w:space="0" w:color="000000"/>
              <w:bottom w:val="single" w:sz="2" w:space="0" w:color="000000"/>
              <w:right w:val="single" w:sz="2" w:space="0" w:color="000000"/>
            </w:tcBorders>
            <w:vAlign w:val="center"/>
          </w:tcPr>
          <w:p w14:paraId="28234CF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c>
          <w:tcPr>
            <w:tcW w:w="1559" w:type="dxa"/>
            <w:tcBorders>
              <w:top w:val="single" w:sz="2" w:space="0" w:color="000000"/>
              <w:left w:val="single" w:sz="2" w:space="0" w:color="000000"/>
              <w:bottom w:val="single" w:sz="2" w:space="0" w:color="000000"/>
              <w:right w:val="single" w:sz="2" w:space="0" w:color="000000"/>
            </w:tcBorders>
            <w:vAlign w:val="center"/>
          </w:tcPr>
          <w:p w14:paraId="6D4C1803"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 </w:t>
            </w:r>
          </w:p>
        </w:tc>
        <w:tc>
          <w:tcPr>
            <w:tcW w:w="1135" w:type="dxa"/>
            <w:tcBorders>
              <w:top w:val="single" w:sz="2" w:space="0" w:color="000000"/>
              <w:left w:val="single" w:sz="2" w:space="0" w:color="000000"/>
              <w:bottom w:val="single" w:sz="2" w:space="0" w:color="000000"/>
              <w:right w:val="single" w:sz="2" w:space="0" w:color="000000"/>
            </w:tcBorders>
            <w:vAlign w:val="center"/>
          </w:tcPr>
          <w:p w14:paraId="1B421019"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3,00</w:t>
            </w:r>
          </w:p>
        </w:tc>
      </w:tr>
      <w:tr w:rsidR="0022723E" w:rsidRPr="00C51D72" w14:paraId="42472465"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7CDBC372"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Permis de conduire</w:t>
            </w:r>
          </w:p>
        </w:tc>
        <w:tc>
          <w:tcPr>
            <w:tcW w:w="1207" w:type="dxa"/>
            <w:tcBorders>
              <w:top w:val="single" w:sz="2" w:space="0" w:color="000000"/>
              <w:left w:val="single" w:sz="2" w:space="0" w:color="000000"/>
              <w:bottom w:val="single" w:sz="2" w:space="0" w:color="000000"/>
              <w:right w:val="single" w:sz="2" w:space="0" w:color="000000"/>
            </w:tcBorders>
            <w:vAlign w:val="center"/>
          </w:tcPr>
          <w:p w14:paraId="15E5F277"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w:t>
            </w:r>
          </w:p>
        </w:tc>
        <w:tc>
          <w:tcPr>
            <w:tcW w:w="1559" w:type="dxa"/>
            <w:tcBorders>
              <w:top w:val="single" w:sz="2" w:space="0" w:color="000000"/>
              <w:left w:val="single" w:sz="2" w:space="0" w:color="000000"/>
              <w:bottom w:val="single" w:sz="2" w:space="0" w:color="000000"/>
              <w:right w:val="single" w:sz="2" w:space="0" w:color="000000"/>
            </w:tcBorders>
            <w:vAlign w:val="center"/>
          </w:tcPr>
          <w:p w14:paraId="3193710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20,00</w:t>
            </w:r>
          </w:p>
        </w:tc>
        <w:tc>
          <w:tcPr>
            <w:tcW w:w="1135" w:type="dxa"/>
            <w:tcBorders>
              <w:top w:val="single" w:sz="2" w:space="0" w:color="000000"/>
              <w:left w:val="single" w:sz="2" w:space="0" w:color="000000"/>
              <w:bottom w:val="single" w:sz="2" w:space="0" w:color="000000"/>
              <w:right w:val="single" w:sz="2" w:space="0" w:color="000000"/>
            </w:tcBorders>
            <w:vAlign w:val="center"/>
          </w:tcPr>
          <w:p w14:paraId="00651E46"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25,00</w:t>
            </w:r>
          </w:p>
        </w:tc>
      </w:tr>
      <w:tr w:rsidR="0022723E" w:rsidRPr="00C51D72" w14:paraId="48D1BBE0" w14:textId="77777777" w:rsidTr="00A361B7">
        <w:tc>
          <w:tcPr>
            <w:tcW w:w="6241" w:type="dxa"/>
            <w:tcBorders>
              <w:top w:val="single" w:sz="2" w:space="0" w:color="000000"/>
              <w:left w:val="single" w:sz="2" w:space="0" w:color="000000"/>
              <w:bottom w:val="single" w:sz="2" w:space="0" w:color="000000"/>
              <w:right w:val="single" w:sz="2" w:space="0" w:color="000000"/>
            </w:tcBorders>
            <w:vAlign w:val="bottom"/>
          </w:tcPr>
          <w:p w14:paraId="3E4BFCA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Permis de conduire international</w:t>
            </w:r>
          </w:p>
        </w:tc>
        <w:tc>
          <w:tcPr>
            <w:tcW w:w="1207" w:type="dxa"/>
            <w:tcBorders>
              <w:top w:val="single" w:sz="2" w:space="0" w:color="000000"/>
              <w:left w:val="single" w:sz="2" w:space="0" w:color="000000"/>
              <w:bottom w:val="single" w:sz="2" w:space="0" w:color="000000"/>
              <w:right w:val="single" w:sz="2" w:space="0" w:color="000000"/>
            </w:tcBorders>
            <w:vAlign w:val="center"/>
          </w:tcPr>
          <w:p w14:paraId="042953BD"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9,00</w:t>
            </w:r>
          </w:p>
        </w:tc>
        <w:tc>
          <w:tcPr>
            <w:tcW w:w="1559" w:type="dxa"/>
            <w:tcBorders>
              <w:top w:val="single" w:sz="2" w:space="0" w:color="000000"/>
              <w:left w:val="single" w:sz="2" w:space="0" w:color="000000"/>
              <w:bottom w:val="single" w:sz="2" w:space="0" w:color="000000"/>
              <w:right w:val="single" w:sz="2" w:space="0" w:color="000000"/>
            </w:tcBorders>
            <w:vAlign w:val="center"/>
          </w:tcPr>
          <w:p w14:paraId="407E39CD"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16,00</w:t>
            </w:r>
          </w:p>
        </w:tc>
        <w:tc>
          <w:tcPr>
            <w:tcW w:w="1135" w:type="dxa"/>
            <w:tcBorders>
              <w:top w:val="single" w:sz="2" w:space="0" w:color="000000"/>
              <w:left w:val="single" w:sz="2" w:space="0" w:color="000000"/>
              <w:bottom w:val="single" w:sz="2" w:space="0" w:color="000000"/>
              <w:right w:val="single" w:sz="2" w:space="0" w:color="000000"/>
            </w:tcBorders>
            <w:vAlign w:val="center"/>
          </w:tcPr>
          <w:p w14:paraId="457C338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25,00</w:t>
            </w:r>
          </w:p>
        </w:tc>
      </w:tr>
    </w:tbl>
    <w:p w14:paraId="698E6AA1" w14:textId="77777777"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4</w:t>
      </w:r>
      <w:r w:rsidRPr="00A361B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Exonérations : la taxe n'est pas due pour les documents administratifs qui sont délivrés pour :</w:t>
      </w:r>
    </w:p>
    <w:p w14:paraId="179D9D99" w14:textId="77777777" w:rsidR="0022723E" w:rsidRPr="00C51D72" w:rsidRDefault="003C36C7">
      <w:pPr>
        <w:pStyle w:val="whP16pod"/>
        <w:numPr>
          <w:ilvl w:val="0"/>
          <w:numId w:val="24"/>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 recherche d'un emploi ;</w:t>
      </w:r>
    </w:p>
    <w:p w14:paraId="14B3BAC5" w14:textId="77777777" w:rsidR="0022723E" w:rsidRPr="00C51D72" w:rsidRDefault="003C36C7">
      <w:pPr>
        <w:pStyle w:val="whP16pod"/>
        <w:numPr>
          <w:ilvl w:val="0"/>
          <w:numId w:val="2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 création d'une entreprise (installation comme travailleur indépendant à titre individuel ou sous forme de société) ;</w:t>
      </w:r>
    </w:p>
    <w:p w14:paraId="4E10D648" w14:textId="77777777" w:rsidR="0022723E" w:rsidRPr="00C51D72" w:rsidRDefault="003C36C7">
      <w:pPr>
        <w:pStyle w:val="whP16pod"/>
        <w:numPr>
          <w:ilvl w:val="0"/>
          <w:numId w:val="2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 présentation d'un examen relatif à la recherche d'un emploi ;</w:t>
      </w:r>
    </w:p>
    <w:p w14:paraId="76F96344" w14:textId="77777777" w:rsidR="0022723E" w:rsidRPr="00C51D72" w:rsidRDefault="003C36C7">
      <w:pPr>
        <w:pStyle w:val="whP16pod"/>
        <w:numPr>
          <w:ilvl w:val="0"/>
          <w:numId w:val="2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La candidature à un logement dans une société agréée par la S.W.L. ;</w:t>
      </w:r>
    </w:p>
    <w:p w14:paraId="5862231C" w14:textId="77777777" w:rsidR="0022723E" w:rsidRPr="00C51D72" w:rsidRDefault="003C36C7">
      <w:pPr>
        <w:pStyle w:val="whP16pod"/>
        <w:numPr>
          <w:ilvl w:val="0"/>
          <w:numId w:val="23"/>
        </w:numPr>
        <w:tabs>
          <w:tab w:val="left" w:pos="922"/>
        </w:tabs>
        <w:rPr>
          <w:rFonts w:ascii="Times New Roman" w:hAnsi="Times New Roman" w:cs="Times New Roman"/>
          <w:sz w:val="22"/>
          <w:szCs w:val="22"/>
        </w:rPr>
      </w:pPr>
      <w:r w:rsidRPr="00C51D72">
        <w:rPr>
          <w:rFonts w:ascii="Times New Roman" w:hAnsi="Times New Roman" w:cs="Times New Roman"/>
          <w:sz w:val="22"/>
          <w:szCs w:val="22"/>
        </w:rPr>
        <w:lastRenderedPageBreak/>
        <w:t>L’allocation déménagement et loyer (A.D.E.) </w:t>
      </w:r>
    </w:p>
    <w:p w14:paraId="6EDC90E5" w14:textId="49AEBBE7" w:rsidR="0022723E" w:rsidRPr="00A361B7" w:rsidRDefault="003C36C7" w:rsidP="00A361B7">
      <w:pPr>
        <w:pStyle w:val="whP16pod"/>
        <w:numPr>
          <w:ilvl w:val="0"/>
          <w:numId w:val="23"/>
        </w:numPr>
        <w:tabs>
          <w:tab w:val="left" w:pos="922"/>
        </w:tabs>
        <w:rPr>
          <w:rFonts w:ascii="Times New Roman" w:hAnsi="Times New Roman" w:cs="Times New Roman"/>
          <w:sz w:val="22"/>
          <w:szCs w:val="22"/>
        </w:rPr>
      </w:pPr>
      <w:r w:rsidRPr="00A361B7">
        <w:rPr>
          <w:rFonts w:ascii="Times New Roman" w:hAnsi="Times New Roman" w:cs="Times New Roman"/>
          <w:sz w:val="22"/>
          <w:szCs w:val="22"/>
        </w:rPr>
        <w:t>L’accueil des enfants réfugiés pour raisons humanitaires : l'accueil de ces enfants étant justifié par motifs humanitaires, recommandations aux communes de ne pas percevoir d'imposition communale (taxe ou redevance) tant lors de la délivrance de la déclaration d'arrivée de ces enfants que pour toute démarche administrative entreprise pour leur accueil. </w:t>
      </w:r>
    </w:p>
    <w:p w14:paraId="529BB3C4" w14:textId="4F6B62A3"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5</w:t>
      </w:r>
      <w:r w:rsidRPr="00A361B7">
        <w:rPr>
          <w:rStyle w:val="whP5pod"/>
          <w:rFonts w:ascii="Times New Roman" w:hAnsi="Times New Roman" w:cs="Times New Roman"/>
          <w:b w:val="0"/>
          <w:bCs/>
          <w:sz w:val="22"/>
          <w:szCs w:val="22"/>
        </w:rPr>
        <w:t xml:space="preserve"> –</w:t>
      </w:r>
      <w:r w:rsidRPr="00C51D72">
        <w:rPr>
          <w:rStyle w:val="whP6pod"/>
          <w:rFonts w:ascii="Times New Roman" w:hAnsi="Times New Roman" w:cs="Times New Roman"/>
          <w:sz w:val="22"/>
          <w:szCs w:val="22"/>
        </w:rPr>
        <w:t xml:space="preserve"> </w:t>
      </w:r>
      <w:r w:rsidRPr="00C51D72">
        <w:rPr>
          <w:rFonts w:ascii="Times New Roman" w:hAnsi="Times New Roman" w:cs="Times New Roman"/>
          <w:sz w:val="22"/>
          <w:szCs w:val="22"/>
        </w:rPr>
        <w:t>La taxe est perçue au comptant au moment de la délivrance du document contre-remise d’une preuve de paiement conformément à l’article L3321-3 du Code de la démocratie locale et de la décentralisation. </w:t>
      </w:r>
    </w:p>
    <w:p w14:paraId="3A4C4404" w14:textId="77777777"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6</w:t>
      </w:r>
      <w:r w:rsidRPr="00A361B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À défaut de paiement au comptant, la taxe est enrôlée et est immédiatement exigible.</w:t>
      </w:r>
    </w:p>
    <w:p w14:paraId="1ADA10D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non-paiement de la taxe, conformément à l’article L3321-8bis du Code de la démocratie locale et de la décentralisation, une sommation de payer sera envoyée au contribuable.</w:t>
      </w:r>
    </w:p>
    <w:p w14:paraId="0790AE91" w14:textId="65B3D94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sommation de payer se fera par courrier recommandé et les frais postaux de cet envoi seront à charge du redevable. Ces frais seront recouvrés de la même manière que la taxe à laquelle ils se rapportent. </w:t>
      </w:r>
    </w:p>
    <w:p w14:paraId="24A12D3B" w14:textId="3FA2B535"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7</w:t>
      </w:r>
      <w:r w:rsidRPr="00A361B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56510181" w14:textId="77777777" w:rsidR="0022723E" w:rsidRPr="00C51D72" w:rsidRDefault="003C36C7">
      <w:pPr>
        <w:pStyle w:val="whP2pod"/>
        <w:rPr>
          <w:rFonts w:ascii="Times New Roman" w:hAnsi="Times New Roman" w:cs="Times New Roman"/>
          <w:sz w:val="22"/>
          <w:szCs w:val="22"/>
        </w:rPr>
      </w:pPr>
      <w:r w:rsidRPr="00A361B7">
        <w:rPr>
          <w:rStyle w:val="whP20pod"/>
          <w:rFonts w:ascii="Times New Roman" w:hAnsi="Times New Roman" w:cs="Times New Roman"/>
          <w:b w:val="0"/>
          <w:bCs/>
          <w:sz w:val="22"/>
          <w:szCs w:val="22"/>
        </w:rPr>
        <w:t>Article 8 -</w:t>
      </w:r>
      <w:r w:rsidRPr="00C51D72">
        <w:rPr>
          <w:rStyle w:val="whP20pod"/>
          <w:rFonts w:ascii="Times New Roman" w:hAnsi="Times New Roman" w:cs="Times New Roman"/>
          <w:sz w:val="22"/>
          <w:szCs w:val="22"/>
        </w:rPr>
        <w:t xml:space="preserve"> </w:t>
      </w: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7CB3A03B"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1216E6A1"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 ;</w:t>
      </w:r>
    </w:p>
    <w:p w14:paraId="139A773F"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27DD6DAD"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74C54BC1"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7B979724" w14:textId="600E923C" w:rsidR="0022723E" w:rsidRPr="00C51D72" w:rsidRDefault="003C36C7" w:rsidP="00A361B7">
      <w:pPr>
        <w:pStyle w:val="whP26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49D77562" w14:textId="2A0CFBCA" w:rsidR="0022723E" w:rsidRPr="00C51D72" w:rsidRDefault="003C36C7">
      <w:pPr>
        <w:pStyle w:val="whP2pod"/>
        <w:rPr>
          <w:rFonts w:ascii="Times New Roman" w:hAnsi="Times New Roman" w:cs="Times New Roman"/>
          <w:sz w:val="22"/>
          <w:szCs w:val="22"/>
        </w:rPr>
      </w:pPr>
      <w:r w:rsidRPr="00A361B7">
        <w:rPr>
          <w:rStyle w:val="whP27pod"/>
          <w:rFonts w:ascii="Times New Roman" w:hAnsi="Times New Roman" w:cs="Times New Roman"/>
          <w:b w:val="0"/>
          <w:bCs/>
          <w:sz w:val="22"/>
          <w:szCs w:val="22"/>
        </w:rPr>
        <w:t>Article 9-</w:t>
      </w:r>
      <w:r w:rsidRPr="00C51D72">
        <w:rPr>
          <w:rFonts w:ascii="Times New Roman" w:hAnsi="Times New Roman" w:cs="Times New Roman"/>
          <w:sz w:val="22"/>
          <w:szCs w:val="22"/>
        </w:rPr>
        <w:t xml:space="preserve"> Le présent règlement sera transmis au Gouvernement wallon conformément aux articles L3131-1 et suivants du Code de la Démocratie Locale et de la Décentralisation pour exercice de la tutelle spéciale d’approbation </w:t>
      </w:r>
    </w:p>
    <w:p w14:paraId="68AF15EA" w14:textId="3A2268B2" w:rsidR="0022723E" w:rsidRPr="00C51D72" w:rsidRDefault="003C36C7" w:rsidP="00A361B7">
      <w:pPr>
        <w:pStyle w:val="whP2pod"/>
        <w:rPr>
          <w:rFonts w:ascii="Times New Roman" w:hAnsi="Times New Roman" w:cs="Times New Roman"/>
          <w:color w:val="000000"/>
          <w:sz w:val="22"/>
          <w:szCs w:val="22"/>
        </w:rPr>
      </w:pPr>
      <w:r w:rsidRPr="00A361B7">
        <w:rPr>
          <w:rStyle w:val="whP21pod"/>
          <w:rFonts w:ascii="Times New Roman" w:hAnsi="Times New Roman" w:cs="Times New Roman"/>
          <w:b w:val="0"/>
          <w:bCs/>
          <w:sz w:val="22"/>
          <w:szCs w:val="22"/>
        </w:rPr>
        <w:t>Article 10 –</w:t>
      </w:r>
      <w:r w:rsidRPr="00C51D72">
        <w:rPr>
          <w:rStyle w:val="whP21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entrera en vigueur après accomplissement des formalités de la publication faites conformément aux articles L1133-1 et 2 du Code de la démocratie locale et de la décentralisation.</w:t>
      </w:r>
    </w:p>
    <w:p w14:paraId="1FE8A3E7"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AE48BFE" w14:textId="77777777" w:rsidR="0022723E" w:rsidRPr="00C51D72" w:rsidRDefault="003C36C7">
      <w:pPr>
        <w:pStyle w:val="Titre2"/>
        <w:tabs>
          <w:tab w:val="left" w:pos="1020"/>
        </w:tabs>
        <w:spacing w:before="0" w:after="113"/>
        <w:ind w:left="510" w:hanging="510"/>
        <w:jc w:val="both"/>
        <w:rPr>
          <w:rFonts w:cs="Times New Roman"/>
          <w:szCs w:val="22"/>
        </w:rPr>
      </w:pPr>
      <w:bookmarkStart w:id="12" w:name="__RefHeading___Toc1768_349934923612"/>
      <w:bookmarkEnd w:id="12"/>
      <w:r w:rsidRPr="00C51D72">
        <w:rPr>
          <w:rFonts w:cs="Times New Roman"/>
          <w:color w:val="000000"/>
          <w:szCs w:val="22"/>
          <w:u w:val="none"/>
        </w:rPr>
        <w:t>13.</w:t>
      </w:r>
      <w:r w:rsidRPr="00C51D72">
        <w:rPr>
          <w:rFonts w:cs="Times New Roman"/>
          <w:color w:val="000000"/>
          <w:szCs w:val="22"/>
          <w:u w:val="none"/>
        </w:rPr>
        <w:tab/>
      </w:r>
      <w:r w:rsidRPr="00C51D72">
        <w:rPr>
          <w:rFonts w:cs="Times New Roman"/>
          <w:caps/>
          <w:color w:val="000000"/>
          <w:szCs w:val="22"/>
        </w:rPr>
        <w:t>TAXE SUR LA DISTRIBUTION GRATUITE À DOMICILE D'ÉCRITS PUBLICITAIRES NON ADRESSÉS – EXERCICE 2026.</w:t>
      </w:r>
    </w:p>
    <w:p w14:paraId="6CDB5627"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342FC341" w14:textId="77777777" w:rsidR="00A361B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articles 41, 162 et 170 § 4 de la Constitution ;</w:t>
      </w:r>
    </w:p>
    <w:p w14:paraId="79945B62" w14:textId="77777777" w:rsidR="00A361B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(M.B.23.9.2004, éd. 2) portant assentiment de la Charte européenne de l’autonomie locale, notamment l’article 9.1. de la Charte ;</w:t>
      </w:r>
    </w:p>
    <w:p w14:paraId="1D138DBD" w14:textId="4B82BE3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première partie du Code de la Démocratie Locale et de la Décentralisation et notamment les articles L1122-30 et L3321-1 à 12 ;</w:t>
      </w:r>
    </w:p>
    <w:p w14:paraId="12315BE9" w14:textId="71C7B79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taxes communales ;</w:t>
      </w:r>
    </w:p>
    <w:p w14:paraId="0A9FC1BB" w14:textId="15DC035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w:t>
      </w:r>
    </w:p>
    <w:p w14:paraId="4AC81D2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finances communales ;</w:t>
      </w:r>
    </w:p>
    <w:p w14:paraId="457F787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selon la jurisprudence du Conseil d'Etat (C.E., 18 avril 2008, arrêt n°182.145), il n'est pas manifestement déraisonnable d'assigner une fin écologique à la taxe, l'abondance des écrits publicitaires étant telle, par rapport au nombre des autres écrits, qu'il n'est pas contestable que l'intervention des services communaux de la propreté publique soit plus importante pour le premier type d'écrits que pour le second ;</w:t>
      </w:r>
    </w:p>
    <w:p w14:paraId="4E7F4A7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 but premier de la presse régionale gratuite est d'informer et que si on y retrouve de nombreuses publicités, c'est dans le but de couvrir les dépenses engendrées par la publication de ce type de journal ;</w:t>
      </w:r>
    </w:p>
    <w:p w14:paraId="79B347B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par contre, si au sein d'un écrit publicitaire, est introduit du texte rédactionnel, c'est principalement dans le but de limiter l'impôt, la vocation première étant d'encourager la vente d'un produit ;</w:t>
      </w:r>
    </w:p>
    <w:p w14:paraId="69D2DC20" w14:textId="1CD5985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ces écrits constituent, par leur raison sociale, des catégories totalement distinctes l’une de l’autre et qu'il se justifie donc pleinement d'appliquer un tarif différencié entre la presse régionale gratuite et les prospectus purement publicitaires ;</w:t>
      </w:r>
    </w:p>
    <w:p w14:paraId="7AA09E9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Considérant que l'ensemble des écrits non adressés, dits "toutes boîtes", soumis à la taxe instaurée par le présent règlement, sont des écrits à vocation commerciale et publicitaire diffusés gratuitement en principe à l'ensemble des habitants de la commune ; qu’en cela, ils se distinguent non seulement de la presse adressée, qui est distribuée </w:t>
      </w:r>
      <w:r w:rsidRPr="00C51D72">
        <w:rPr>
          <w:rFonts w:ascii="Times New Roman" w:hAnsi="Times New Roman" w:cs="Times New Roman"/>
          <w:sz w:val="22"/>
          <w:szCs w:val="22"/>
        </w:rPr>
        <w:lastRenderedPageBreak/>
        <w:t>uniquement aux abonnés, à leur demande et à leurs frais, mais également des écrits adressés, envoyés gratuitement à leurs destinataires, parfois sans que ceux-ci en aient fait la demande ;</w:t>
      </w:r>
    </w:p>
    <w:p w14:paraId="265A1E8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dès lors qu'elle entraîne la distribution des écrits concernés dans toutes les boîtes aux lettres situées sur le territoire de la commune, y compris celles d'appartements ou d'immeubles inoccupés, la distribution "toutes boîtes" est de nature à provoquer une production de déchets de papier plus importante que la distribution d'écrits adressés (cf. C.E., 13 mai 2009, arrêt n°193.256) ;</w:t>
      </w:r>
    </w:p>
    <w:p w14:paraId="774BFB6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jurisprudence actuelle estimant que le critère de distinction entre la distribution, d’une part, d’écrits (et/ou d’échantillons) publicitaires non adressés (soumis à la taxe) et, d’autre part, entre autres, d’écrits (et/ou d’échantillons) publicitaires adressés (échappant à la taxe) doit être justifié de manière raisonnable par la motivation du règlement-taxe, les motifs ressortant du dossier relatif à son élaboration ou du dossier administratif produit par la commune (Cass., 14 février 2019, C.17.0648.F ; Cass., 28 février 2014, F.13.0112.F ; Cass., 6 septembre 2013, F.12.0164.F ; Bruxelles, 6 février 2018, n°2011/AR/286 ; Mons, 21 décembre 2017, n°2016/RG/496 ; Liège, 13 décembre 2016, n°2013/RG/1259 ; Liège, 10 février 2016, n°2012/RG/1565 ; Liège, 20 janvier 2016, n°2013/RG/1707 ; Liège, 13 janvier 2016, n°2014/RG/1809 ; Liège, 25 juin 2014, n°2011/RG/82) ;</w:t>
      </w:r>
    </w:p>
    <w:p w14:paraId="1956492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qu’aucune jurisprudence n’exclut qu’une telle distinction puisse être justifiée ;</w:t>
      </w:r>
    </w:p>
    <w:p w14:paraId="2A26849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l’arrêt du Conseil d’Etat (C.E., 20 mars 2019, Bpost, n°243.993) estimant qu’un règlement-taxe est contraire au secret des lettres, consacré par l’article 29 de la Constitution et protégé par l’article 8 de la CEDH et dont la violation est sanctionnée par les articles 460 et 460bis du Code pénal, en ce qu’il impose au redevable de violer ledit secret pour s’acquitter de l’obligation de déclaration édictée par le règlement-taxe ;</w:t>
      </w:r>
    </w:p>
    <w:p w14:paraId="50A4875B" w14:textId="7D9E787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le même arrêt qui énonce ainsi que : « la partie requérante (…) n’est pas toujours en mesure (…) de déterminer l’identité de l’éditeur et de l’imprimeur, ni de vérifier si le contenu de ces plis relève bien de la notion d’écrit publicitaire ou d’échantillon publicitaire au sens (…) du règlement-taxe litigieux, sauf à violer le secret des lettres garanti par les dispositions précitées, ce qui ne se peut » ;</w:t>
      </w:r>
    </w:p>
    <w:p w14:paraId="627A067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commune taxatrice ne serait donc pas en mesure de contrôler l’application d’un tel règlement-taxe qui frappe la distribution d’écrits (et/ou d’échantillons) publicitaires ;</w:t>
      </w:r>
    </w:p>
    <w:p w14:paraId="6072668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ainsi qu’il convient de ne pas soumettre à la taxe la distribution d’écrits (et/ou d’échantillons) publicitaires adressés afin de respecter le secret des lettres ainsi que le droit à la vie privée et, par conséquent, de ne pas compromettre la légalité du règlement-taxe ;</w:t>
      </w:r>
    </w:p>
    <w:p w14:paraId="035FB30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 traitement différencié qui est envisagé repose sur un critère objectif (le caractère adressé des écrits (et/ou échantillons) publicitaires) et est, d’ailleurs, justifié par des motifs raisonnables et proportionnés ;</w:t>
      </w:r>
    </w:p>
    <w:p w14:paraId="2CB25F5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distributions d'écrits non adressés ailleurs qu'au domicile, tels par exemple les flyers distribués en rue ne font pas non plus l'objet d'une distribution généralisée et d'une telle ampleur ; que ce type de distribution se limite généralement à la distribution d’écrits composés d'une seule feuille au format souvent réduit ;</w:t>
      </w:r>
    </w:p>
    <w:p w14:paraId="548EE3D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qu’au regard du but et de l'effet de la taxe, la distribution de « toutes boîtes » se distingue de la distribution gratuite adressée et des autres publications gratuites diverses non adressées au domicile ou ailleurs dès lors que seule la première, taxée par le règlement-taxe, est en principe distribuée de manière généralisée, la deuxième ne l'étant en principe pas (cf. en ce sens Liège 25 janvier 2012, 2009/RG/733) et il n'existe aucune disproportion entre les moyens employés et le but de réduire les déchets papiers sur le territoire de la commune ;</w:t>
      </w:r>
    </w:p>
    <w:p w14:paraId="7EC5CCC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n'est du reste pas manifestement déraisonnable de déterminer le taux de taxation en fonction d'un critère général et objectif tel que le poids de chaque écrit "toutes boîtes" distribué, et non en fonction de leur contenu rédactionnel, étant donné que le volume de déchets papier produit par un exemplaire d'un écrit au contenu exclusivement publicitaire est, à poids égal, exactement le même que le volume de déchets produit par un exemplaire d'un écrit au contenu à la fois publicitaire et informatif (cf. C.E., 13 mai 2009, arrêt n°193.249) ;</w:t>
      </w:r>
    </w:p>
    <w:p w14:paraId="199551F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publications diffusées par les services publics et institutions y assimilées, les organismes d'intérêt public et les entreprises publiques autonomes ainsi que les publications éditées par des associations philanthropiques, culturelles, sportives et d'utilité sociale ne poursuivant aucun but de lucre doivent pouvoir bénéficier d’une exemption de cette taxe ;</w:t>
      </w:r>
    </w:p>
    <w:p w14:paraId="133482B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en date du 29 octobre 2025 conformément à l’article L1124-40 §1, 3° et 4° du Code de la Démocratie Locale et de la Décentralisation ;</w:t>
      </w:r>
    </w:p>
    <w:p w14:paraId="6087F7AE" w14:textId="190F7CD2" w:rsidR="0022723E" w:rsidRPr="00C51D72" w:rsidRDefault="00A361B7">
      <w:pPr>
        <w:pStyle w:val="whP2pod"/>
        <w:rPr>
          <w:rFonts w:ascii="Times New Roman" w:hAnsi="Times New Roman" w:cs="Times New Roman"/>
          <w:sz w:val="22"/>
          <w:szCs w:val="22"/>
        </w:rPr>
      </w:pPr>
      <w:r>
        <w:rPr>
          <w:rFonts w:ascii="Times New Roman" w:hAnsi="Times New Roman" w:cs="Times New Roman"/>
          <w:sz w:val="22"/>
          <w:szCs w:val="22"/>
        </w:rPr>
        <w:t>V</w:t>
      </w:r>
      <w:r w:rsidR="003C36C7" w:rsidRPr="00C51D72">
        <w:rPr>
          <w:rFonts w:ascii="Times New Roman" w:hAnsi="Times New Roman" w:cs="Times New Roman"/>
          <w:sz w:val="22"/>
          <w:szCs w:val="22"/>
        </w:rPr>
        <w:t>u l’avis favorable rendu par le Directeur financier en date du 03 novembre 2025 et joint en annexe ;</w:t>
      </w:r>
    </w:p>
    <w:p w14:paraId="5B35AD72" w14:textId="0234509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3687E03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w:t>
      </w:r>
    </w:p>
    <w:p w14:paraId="4B1C4EE1" w14:textId="77777777" w:rsidR="0022723E" w:rsidRPr="00A361B7" w:rsidRDefault="003C36C7">
      <w:pPr>
        <w:pStyle w:val="whP2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À l'unanimité ;</w:t>
      </w:r>
    </w:p>
    <w:p w14:paraId="75320CA2" w14:textId="77777777" w:rsidR="0022723E" w:rsidRPr="00A361B7" w:rsidRDefault="003C36C7">
      <w:pPr>
        <w:pStyle w:val="whP2pod"/>
        <w:rPr>
          <w:rFonts w:ascii="Times New Roman" w:hAnsi="Times New Roman" w:cs="Times New Roman"/>
          <w:b/>
          <w:bCs/>
          <w:sz w:val="22"/>
          <w:szCs w:val="22"/>
        </w:rPr>
      </w:pPr>
      <w:r w:rsidRPr="00A361B7">
        <w:rPr>
          <w:rStyle w:val="whP3pod"/>
          <w:rFonts w:ascii="Times New Roman" w:hAnsi="Times New Roman" w:cs="Times New Roman"/>
          <w:b w:val="0"/>
          <w:bCs/>
          <w:sz w:val="22"/>
          <w:szCs w:val="22"/>
        </w:rPr>
        <w:t>DÉCIDE :</w:t>
      </w:r>
    </w:p>
    <w:p w14:paraId="6A3A0E0B" w14:textId="77777777" w:rsidR="0022723E" w:rsidRPr="00A361B7" w:rsidRDefault="003C36C7">
      <w:pPr>
        <w:pStyle w:val="whP2pod"/>
        <w:rPr>
          <w:rFonts w:ascii="Times New Roman" w:hAnsi="Times New Roman" w:cs="Times New Roman"/>
          <w:b/>
          <w:bCs/>
          <w:sz w:val="22"/>
          <w:szCs w:val="22"/>
        </w:rPr>
      </w:pPr>
      <w:r w:rsidRPr="00A361B7">
        <w:rPr>
          <w:rStyle w:val="whP1pod"/>
          <w:rFonts w:ascii="Times New Roman" w:hAnsi="Times New Roman" w:cs="Times New Roman"/>
          <w:b w:val="0"/>
          <w:bCs/>
          <w:sz w:val="22"/>
          <w:szCs w:val="22"/>
        </w:rPr>
        <w:t xml:space="preserve">Article 1er </w:t>
      </w:r>
    </w:p>
    <w:p w14:paraId="50399D4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Il est établi, pour l’exercice 2026, une taxe communale annuelle indirecte sur la distribution gratuite d'écrits et d'échantillons non adressés qu'ils soient publicitaires ou émanant de la presse régionale gratuite. Est uniquement visée la distribution gratuite dans le chef du destinataire.</w:t>
      </w:r>
    </w:p>
    <w:p w14:paraId="4D52979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748F2312"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lastRenderedPageBreak/>
        <w:t>Article 2</w:t>
      </w:r>
    </w:p>
    <w:p w14:paraId="32415CD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Au sens du présent règlement, en entend par :</w:t>
      </w:r>
    </w:p>
    <w:p w14:paraId="10940604"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Ecrit ou échantillon non adressé</w:t>
      </w:r>
      <w:r w:rsidRPr="00C51D72">
        <w:rPr>
          <w:rFonts w:ascii="Times New Roman" w:hAnsi="Times New Roman" w:cs="Times New Roman"/>
          <w:sz w:val="22"/>
          <w:szCs w:val="22"/>
        </w:rPr>
        <w:t>, l'écrit ou l'échantillon qui ne comporte pas le nom et/ou l'adresse complète du destinataire (rue, n°, code postal et commune).</w:t>
      </w:r>
    </w:p>
    <w:p w14:paraId="19B793BC"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Ecrit publicitaire</w:t>
      </w:r>
      <w:r w:rsidRPr="00C51D72">
        <w:rPr>
          <w:rFonts w:ascii="Times New Roman" w:hAnsi="Times New Roman" w:cs="Times New Roman"/>
          <w:sz w:val="22"/>
          <w:szCs w:val="22"/>
        </w:rPr>
        <w:t>, l'écrit qui contient au moins une annonce à des fins commerciales, réalisée par une ou plusieurs personne(s) physique(s) ou morale(s).</w:t>
      </w:r>
    </w:p>
    <w:p w14:paraId="32AB4354"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Echantillon publicitaire</w:t>
      </w:r>
      <w:r w:rsidRPr="00C51D72">
        <w:rPr>
          <w:rFonts w:ascii="Times New Roman" w:hAnsi="Times New Roman" w:cs="Times New Roman"/>
          <w:sz w:val="22"/>
          <w:szCs w:val="22"/>
        </w:rPr>
        <w:t>, toute petite quantité et/ou exemple d'un produit réalisé pour en assurer la promotion et/ou la vente.</w:t>
      </w:r>
    </w:p>
    <w:p w14:paraId="6F42B18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Est considéré comme formant un seul échantillon, le produit et l'écrit publicitaire qui, le cas échéant, l'accompagne.</w:t>
      </w:r>
    </w:p>
    <w:p w14:paraId="6CA2455D"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Zone de distribution :</w:t>
      </w:r>
      <w:r w:rsidRPr="00C51D72">
        <w:rPr>
          <w:rFonts w:ascii="Times New Roman" w:hAnsi="Times New Roman" w:cs="Times New Roman"/>
          <w:sz w:val="22"/>
          <w:szCs w:val="22"/>
        </w:rPr>
        <w:t> le territoire de la commune et de ses communes limitrophes.</w:t>
      </w:r>
    </w:p>
    <w:p w14:paraId="284BE43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Ecrit de presse régionale gratuite : l’écrit qui répond aux conditions suivantes :</w:t>
      </w:r>
    </w:p>
    <w:p w14:paraId="027EED52"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L'écrit distribué gratuitement selon une périodicité régulière d'un minimum de 12 fois l'an ;</w:t>
      </w:r>
    </w:p>
    <w:p w14:paraId="5A632660" w14:textId="5774D060"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L’écrit de PRG doit contenir, outre de la publicité, du texte rédactionnel d'informations liées à l'actualité récente, adaptée à la zone de distribution mais essentiellement locales et/ou communales et comportant à la fois au moins 5 des six informations d'intérêt général suivantes, d'actualité et non périmées, adaptées à la zone de distribution et, en tous cas</w:t>
      </w:r>
      <w:r w:rsidR="005B3BFB">
        <w:rPr>
          <w:rFonts w:ascii="Times New Roman" w:hAnsi="Times New Roman" w:cs="Times New Roman"/>
          <w:sz w:val="22"/>
          <w:szCs w:val="22"/>
        </w:rPr>
        <w:t>,</w:t>
      </w:r>
      <w:r w:rsidRPr="00C51D72">
        <w:rPr>
          <w:rFonts w:ascii="Times New Roman" w:hAnsi="Times New Roman" w:cs="Times New Roman"/>
          <w:sz w:val="22"/>
          <w:szCs w:val="22"/>
        </w:rPr>
        <w:t xml:space="preserve"> essentiellement communales :</w:t>
      </w:r>
    </w:p>
    <w:p w14:paraId="28C40493"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les rôles de garde (médecins, pharmaciens, vétérinaires, ...),</w:t>
      </w:r>
    </w:p>
    <w:p w14:paraId="02F041C4"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les agendas culturels reprenant les principales manifestations de la commune et de sa région, de ses A.S.B.L. Culturelles, sportives, caritatives,</w:t>
      </w:r>
    </w:p>
    <w:p w14:paraId="56179ED2"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les « petites annonces » de particuliers,</w:t>
      </w:r>
    </w:p>
    <w:p w14:paraId="6334B4FB"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une rubrique d'offres d'emplois et de formation,</w:t>
      </w:r>
    </w:p>
    <w:p w14:paraId="780FF817"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les annonces notariales,</w:t>
      </w:r>
    </w:p>
    <w:p w14:paraId="17AD94AD"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des informations relatives à l'application de Lois, décrets ou règlements généraux qu'ils soient régionaux, fédéraux ou locaux des annonces d'utilité publique ainsi que des publications officielles ou d'intérêt public telles que : enquêtes publiques, autres publications ordonnées par les cours et tribunaux...</w:t>
      </w:r>
    </w:p>
    <w:p w14:paraId="792D704F"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Le contenu « publicitaire » présent dans l’écrit de la PRG doit être multi-enseignes ;</w:t>
      </w:r>
    </w:p>
    <w:p w14:paraId="5F3A8121"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Le contenu rédactionnel original dans l’écrit de la PRG doit être protégé par les droits d’auteur ;</w:t>
      </w:r>
    </w:p>
    <w:p w14:paraId="6278C7B2" w14:textId="77777777" w:rsidR="0022723E" w:rsidRPr="00C51D72" w:rsidRDefault="003C36C7">
      <w:pPr>
        <w:pStyle w:val="whP14pod"/>
        <w:numPr>
          <w:ilvl w:val="0"/>
          <w:numId w:val="2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L’écrit de PRG doit obligatoirement reprendre la mention de l’éditeur responsable et le contact de la rédaction.</w:t>
      </w:r>
    </w:p>
    <w:p w14:paraId="4EB40A48" w14:textId="1CEC887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la presse régionale gratuite insère des cahiers supplémentaires dans leurs éditions, ces « cahiers » seront taxés au même taux que les écrits publicitaires. </w:t>
      </w:r>
    </w:p>
    <w:p w14:paraId="6BFB3B47"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3</w:t>
      </w:r>
    </w:p>
    <w:p w14:paraId="201E0BC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due par l'éditeur du « toute boite » ; l’imprimeur et la personne physique ou morale pour compte de laquelle l'écrit publicitaire est distribué. Ceux-ci sont codébiteurs de la taxe.</w:t>
      </w:r>
    </w:p>
    <w:p w14:paraId="0E53E476" w14:textId="393CA55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Lorsque le contribuable est une association non dotée de la personnalité juridique, chaque membre est codébiteur de la taxe. </w:t>
      </w:r>
    </w:p>
    <w:p w14:paraId="43702901"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4</w:t>
      </w:r>
    </w:p>
    <w:p w14:paraId="40E1F6A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fixée à :</w:t>
      </w:r>
    </w:p>
    <w:p w14:paraId="37C08F6E" w14:textId="77777777" w:rsidR="0022723E" w:rsidRPr="00C51D72" w:rsidRDefault="003C36C7">
      <w:pPr>
        <w:pStyle w:val="whP14pod"/>
        <w:numPr>
          <w:ilvl w:val="0"/>
          <w:numId w:val="2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0,0185 € par exemplaire distribué pour les écrits et les échantillons publicitaires jusqu'à 10 grammes inclus</w:t>
      </w:r>
    </w:p>
    <w:p w14:paraId="714B4739" w14:textId="77777777" w:rsidR="0022723E" w:rsidRPr="00C51D72" w:rsidRDefault="003C36C7">
      <w:pPr>
        <w:pStyle w:val="whP14pod"/>
        <w:numPr>
          <w:ilvl w:val="0"/>
          <w:numId w:val="2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0,0481 € par exemplaire distribué pour les écrits et les échantillons publicitaires au-delà de 10 et jusqu'à 40 grammes inclus</w:t>
      </w:r>
    </w:p>
    <w:p w14:paraId="6FF854DC" w14:textId="77777777" w:rsidR="0022723E" w:rsidRPr="00C51D72" w:rsidRDefault="003C36C7">
      <w:pPr>
        <w:pStyle w:val="whP14pod"/>
        <w:numPr>
          <w:ilvl w:val="0"/>
          <w:numId w:val="2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0,0722 € par exemplaire distribué pour les écrits et les échantillons publicitaires au-delà de 40 et jusqu'à 225 grammes inclus</w:t>
      </w:r>
    </w:p>
    <w:p w14:paraId="24DC5F34" w14:textId="77777777" w:rsidR="0022723E" w:rsidRPr="00C51D72" w:rsidRDefault="003C36C7">
      <w:pPr>
        <w:pStyle w:val="whP14pod"/>
        <w:numPr>
          <w:ilvl w:val="0"/>
          <w:numId w:val="2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0,1300 € par exemplaire distribué pour les écrits et les échantillons publicitaires supérieurs à 225 grammes.</w:t>
      </w:r>
    </w:p>
    <w:p w14:paraId="353D1B4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Néanmoins, tout écrit distribué émanant de presse régionale gratuite se verra appliquer un taux de :</w:t>
      </w:r>
    </w:p>
    <w:p w14:paraId="044CD814" w14:textId="77777777" w:rsidR="0022723E" w:rsidRPr="00C51D72" w:rsidRDefault="003C36C7">
      <w:pPr>
        <w:pStyle w:val="whP14pod"/>
        <w:numPr>
          <w:ilvl w:val="0"/>
          <w:numId w:val="27"/>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0,0123 € par exemplaire distribué jusqu'à 10 grammes inclus</w:t>
      </w:r>
    </w:p>
    <w:p w14:paraId="130A23DA" w14:textId="77777777" w:rsidR="0022723E" w:rsidRPr="00C51D72" w:rsidRDefault="003C36C7">
      <w:pPr>
        <w:pStyle w:val="whP14pod"/>
        <w:numPr>
          <w:ilvl w:val="0"/>
          <w:numId w:val="27"/>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0,0150 € par exemplaire distribué au-delà de 10 et jusqu'à 40 grammes inclus</w:t>
      </w:r>
    </w:p>
    <w:p w14:paraId="070E1899" w14:textId="77777777" w:rsidR="0022723E" w:rsidRPr="00C51D72" w:rsidRDefault="003C36C7">
      <w:pPr>
        <w:pStyle w:val="whP14pod"/>
        <w:numPr>
          <w:ilvl w:val="0"/>
          <w:numId w:val="27"/>
        </w:numPr>
        <w:tabs>
          <w:tab w:val="left" w:pos="922"/>
        </w:tabs>
        <w:rPr>
          <w:rFonts w:ascii="Times New Roman" w:hAnsi="Times New Roman" w:cs="Times New Roman"/>
          <w:sz w:val="22"/>
          <w:szCs w:val="22"/>
        </w:rPr>
      </w:pPr>
      <w:r w:rsidRPr="00C51D72">
        <w:rPr>
          <w:rFonts w:ascii="Times New Roman" w:hAnsi="Times New Roman" w:cs="Times New Roman"/>
          <w:sz w:val="22"/>
          <w:szCs w:val="22"/>
        </w:rPr>
        <w:t>0,0180 € par exemplaire distribué au-delà de 40 et jusqu'à 225 grammes inclus</w:t>
      </w:r>
    </w:p>
    <w:p w14:paraId="19F1AEA9" w14:textId="3240C090" w:rsidR="0022723E" w:rsidRPr="005B106B" w:rsidRDefault="003C36C7" w:rsidP="005B106B">
      <w:pPr>
        <w:pStyle w:val="whP14pod"/>
        <w:numPr>
          <w:ilvl w:val="0"/>
          <w:numId w:val="27"/>
        </w:numPr>
        <w:tabs>
          <w:tab w:val="left" w:pos="922"/>
        </w:tabs>
        <w:rPr>
          <w:rFonts w:ascii="Times New Roman" w:hAnsi="Times New Roman" w:cs="Times New Roman"/>
          <w:sz w:val="22"/>
          <w:szCs w:val="22"/>
        </w:rPr>
      </w:pPr>
      <w:r w:rsidRPr="005B106B">
        <w:rPr>
          <w:rFonts w:ascii="Times New Roman" w:hAnsi="Times New Roman" w:cs="Times New Roman"/>
          <w:sz w:val="22"/>
          <w:szCs w:val="22"/>
        </w:rPr>
        <w:t>0,0200 € par exemplaire distribué supérieur à 225 grammes. </w:t>
      </w:r>
    </w:p>
    <w:p w14:paraId="67C63FDE"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5</w:t>
      </w:r>
    </w:p>
    <w:p w14:paraId="3B8D038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À la demande du redevable, le Collège Communal accorde, pour l'année, un régime d'imposition forfaitaire trimestrielle, à raison de 13 (treize) distributions par trimestre dans le cas de distributions répétitives, en remplacement des cotisations ponctuelles.</w:t>
      </w:r>
    </w:p>
    <w:p w14:paraId="2BCC869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Dans cette hypothèse :</w:t>
      </w:r>
    </w:p>
    <w:p w14:paraId="60542C11" w14:textId="77777777" w:rsidR="0022723E" w:rsidRPr="00C51D72" w:rsidRDefault="003C36C7">
      <w:pPr>
        <w:pStyle w:val="whP14pod"/>
        <w:numPr>
          <w:ilvl w:val="0"/>
          <w:numId w:val="2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le nombre d'exemplaires distribués est déterminé par le nombre de boîtes aux lettres installées sur le territoire de la commune en date du 1er janvier</w:t>
      </w:r>
    </w:p>
    <w:p w14:paraId="182B6085" w14:textId="77777777" w:rsidR="0022723E" w:rsidRPr="00C51D72" w:rsidRDefault="003C36C7">
      <w:pPr>
        <w:pStyle w:val="whP14pod"/>
        <w:numPr>
          <w:ilvl w:val="0"/>
          <w:numId w:val="2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 xml:space="preserve">le taux appliqué à ces distributions (publicitaires et presse régionale gratuite), identique à ceux mentionnés à l'article 4 ci-dessus, sera déterminé par l'exemplaire annexé à la demande d'octroi du régime d'imposition </w:t>
      </w:r>
      <w:r w:rsidRPr="00C51D72">
        <w:rPr>
          <w:rFonts w:ascii="Times New Roman" w:hAnsi="Times New Roman" w:cs="Times New Roman"/>
          <w:sz w:val="22"/>
          <w:szCs w:val="22"/>
        </w:rPr>
        <w:lastRenderedPageBreak/>
        <w:t>forfaitaire. Par ailleurs, le redevable s'engage, à ce que ses écrits respectent bien la catégorie pondérale justifiant le taux qui lui est appliqué.</w:t>
      </w:r>
    </w:p>
    <w:p w14:paraId="532287B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non-respect de cet engagement entraînera conformément à l'article L3321-6 du Code de la Démocratie Locale et de la Décentralisation) l'enrôlement d'office de la taxe.</w:t>
      </w:r>
    </w:p>
    <w:p w14:paraId="6EBD303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d'enrôlement d'office, la taxe est majorée de :</w:t>
      </w:r>
    </w:p>
    <w:p w14:paraId="6AEF019F" w14:textId="77777777" w:rsidR="0022723E" w:rsidRPr="00C51D72" w:rsidRDefault="003C36C7">
      <w:pPr>
        <w:pStyle w:val="whP14pod"/>
        <w:numPr>
          <w:ilvl w:val="0"/>
          <w:numId w:val="29"/>
        </w:numPr>
        <w:tabs>
          <w:tab w:val="left" w:pos="922"/>
        </w:tabs>
        <w:rPr>
          <w:rFonts w:ascii="Times New Roman" w:hAnsi="Times New Roman" w:cs="Times New Roman"/>
          <w:sz w:val="22"/>
          <w:szCs w:val="22"/>
        </w:rPr>
      </w:pPr>
      <w:r w:rsidRPr="00C51D72">
        <w:rPr>
          <w:rFonts w:ascii="Times New Roman" w:hAnsi="Times New Roman" w:cs="Times New Roman"/>
          <w:sz w:val="22"/>
          <w:szCs w:val="22"/>
        </w:rPr>
        <w:t>50 % pour le premier enrôlement d’office ;</w:t>
      </w:r>
    </w:p>
    <w:p w14:paraId="6E1E1C95" w14:textId="77777777" w:rsidR="0022723E" w:rsidRPr="00C51D72" w:rsidRDefault="003C36C7">
      <w:pPr>
        <w:pStyle w:val="whP14pod"/>
        <w:numPr>
          <w:ilvl w:val="0"/>
          <w:numId w:val="29"/>
        </w:numPr>
        <w:tabs>
          <w:tab w:val="left" w:pos="922"/>
        </w:tabs>
        <w:rPr>
          <w:rFonts w:ascii="Times New Roman" w:hAnsi="Times New Roman" w:cs="Times New Roman"/>
          <w:sz w:val="22"/>
          <w:szCs w:val="22"/>
        </w:rPr>
      </w:pPr>
      <w:r w:rsidRPr="00C51D72">
        <w:rPr>
          <w:rFonts w:ascii="Times New Roman" w:hAnsi="Times New Roman" w:cs="Times New Roman"/>
          <w:sz w:val="22"/>
          <w:szCs w:val="22"/>
        </w:rPr>
        <w:t>100 % pour le second enrôlement d’office ;</w:t>
      </w:r>
    </w:p>
    <w:p w14:paraId="143B68A8" w14:textId="77777777" w:rsidR="0022723E" w:rsidRPr="00C51D72" w:rsidRDefault="003C36C7">
      <w:pPr>
        <w:pStyle w:val="whP14pod"/>
        <w:numPr>
          <w:ilvl w:val="0"/>
          <w:numId w:val="29"/>
        </w:numPr>
        <w:tabs>
          <w:tab w:val="left" w:pos="922"/>
        </w:tabs>
        <w:rPr>
          <w:rFonts w:ascii="Times New Roman" w:hAnsi="Times New Roman" w:cs="Times New Roman"/>
          <w:sz w:val="22"/>
          <w:szCs w:val="22"/>
        </w:rPr>
      </w:pPr>
      <w:r w:rsidRPr="00C51D72">
        <w:rPr>
          <w:rFonts w:ascii="Times New Roman" w:hAnsi="Times New Roman" w:cs="Times New Roman"/>
          <w:sz w:val="22"/>
          <w:szCs w:val="22"/>
        </w:rPr>
        <w:t>200 % pour le troisième enrôlement d’office.</w:t>
      </w:r>
    </w:p>
    <w:p w14:paraId="462AB77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Pour la détermination de l’échelle à appliquer, il y a 2ème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6FCE3B08"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55BB8F1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infractions antérieures sont négligées si aucune infraction en la matière n'est sanctionnée pour les trois derniers exercices d'imposition qui précèdent celui pour lequel la nouvelle infraction doit être pénalisée.</w:t>
      </w:r>
    </w:p>
    <w:p w14:paraId="41DF5080" w14:textId="7928344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Il est renoncé à l’accroissement d’impôt pour la première infraction commise de bonne foi. </w:t>
      </w:r>
    </w:p>
    <w:p w14:paraId="2F201C89"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6</w:t>
      </w:r>
    </w:p>
    <w:p w14:paraId="7DF38C08"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Sont exonérées de la taxe :</w:t>
      </w:r>
    </w:p>
    <w:p w14:paraId="03500E10" w14:textId="77777777" w:rsidR="0022723E" w:rsidRPr="00C51D72" w:rsidRDefault="003C36C7">
      <w:pPr>
        <w:pStyle w:val="whP14pod"/>
        <w:numPr>
          <w:ilvl w:val="0"/>
          <w:numId w:val="30"/>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les publications diffusées par les services publics et institutions y assimilées, les organismes d'intérêt public et les entreprises publiques autonomes ;</w:t>
      </w:r>
    </w:p>
    <w:p w14:paraId="54E52B43" w14:textId="78A8EAE5" w:rsidR="0022723E" w:rsidRPr="005B106B" w:rsidRDefault="003C36C7" w:rsidP="005B106B">
      <w:pPr>
        <w:pStyle w:val="whP14pod"/>
        <w:numPr>
          <w:ilvl w:val="0"/>
          <w:numId w:val="30"/>
        </w:numPr>
        <w:tabs>
          <w:tab w:val="left" w:pos="922"/>
        </w:tabs>
        <w:rPr>
          <w:rFonts w:ascii="Times New Roman" w:hAnsi="Times New Roman" w:cs="Times New Roman"/>
          <w:sz w:val="22"/>
          <w:szCs w:val="22"/>
        </w:rPr>
      </w:pPr>
      <w:r w:rsidRPr="005B106B">
        <w:rPr>
          <w:rFonts w:ascii="Times New Roman" w:hAnsi="Times New Roman" w:cs="Times New Roman"/>
          <w:sz w:val="22"/>
          <w:szCs w:val="22"/>
        </w:rPr>
        <w:t>les publications éditées par des associations philanthropiques, culturelles, sportives et d'utilité sociale ne poursuivant aucun but de lucre. </w:t>
      </w:r>
    </w:p>
    <w:p w14:paraId="76B98533"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7</w:t>
      </w:r>
    </w:p>
    <w:p w14:paraId="6A14AD1D" w14:textId="034845D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perçue par voie de rôle et payable dans les deux mois de l’envoi de l’avertissement extrait de rôle. </w:t>
      </w:r>
    </w:p>
    <w:p w14:paraId="364210D8"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8</w:t>
      </w:r>
    </w:p>
    <w:p w14:paraId="00C98D45" w14:textId="06ABD2E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À l'exception des dispositions prévues pour la taxation forfaitaire trimestrielle, le contribuable est tenu de déclarer à l’Administration Communale, au plus tard la veille du jour ou du premier jour au cours duquel la distribution a lieu, les éléments nécessaires à la taxation. </w:t>
      </w:r>
    </w:p>
    <w:p w14:paraId="4F3D5347"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9</w:t>
      </w:r>
    </w:p>
    <w:p w14:paraId="7EB0A202" w14:textId="08C779B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Conformément à l'article L3321-6 du Code de la Démocratie Locale et de la Décentralisation, la non-déclaration dans les délais prévus, la déclaration incorrecte, incomplète ou imprécise entraîne l'enrôlement d'office de la taxe. </w:t>
      </w:r>
    </w:p>
    <w:p w14:paraId="59441C8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d'enrôlement d'office, la taxe est majorée de :</w:t>
      </w:r>
    </w:p>
    <w:p w14:paraId="2506BC1C" w14:textId="77777777" w:rsidR="0022723E" w:rsidRPr="00C51D72" w:rsidRDefault="003C36C7">
      <w:pPr>
        <w:pStyle w:val="whP14pod"/>
        <w:numPr>
          <w:ilvl w:val="0"/>
          <w:numId w:val="31"/>
        </w:numPr>
        <w:tabs>
          <w:tab w:val="left" w:pos="922"/>
        </w:tabs>
        <w:rPr>
          <w:rFonts w:ascii="Times New Roman" w:hAnsi="Times New Roman" w:cs="Times New Roman"/>
          <w:sz w:val="22"/>
          <w:szCs w:val="22"/>
        </w:rPr>
      </w:pPr>
      <w:r w:rsidRPr="00C51D72">
        <w:rPr>
          <w:rFonts w:ascii="Times New Roman" w:hAnsi="Times New Roman" w:cs="Times New Roman"/>
          <w:sz w:val="22"/>
          <w:szCs w:val="22"/>
        </w:rPr>
        <w:t>50 % pour le premier enrôlement d’office ;</w:t>
      </w:r>
    </w:p>
    <w:p w14:paraId="0E6B54F1" w14:textId="77777777" w:rsidR="0022723E" w:rsidRPr="00C51D72" w:rsidRDefault="003C36C7">
      <w:pPr>
        <w:pStyle w:val="whP14pod"/>
        <w:numPr>
          <w:ilvl w:val="0"/>
          <w:numId w:val="31"/>
        </w:numPr>
        <w:tabs>
          <w:tab w:val="left" w:pos="922"/>
        </w:tabs>
        <w:rPr>
          <w:rFonts w:ascii="Times New Roman" w:hAnsi="Times New Roman" w:cs="Times New Roman"/>
          <w:sz w:val="22"/>
          <w:szCs w:val="22"/>
        </w:rPr>
      </w:pPr>
      <w:r w:rsidRPr="00C51D72">
        <w:rPr>
          <w:rFonts w:ascii="Times New Roman" w:hAnsi="Times New Roman" w:cs="Times New Roman"/>
          <w:sz w:val="22"/>
          <w:szCs w:val="22"/>
        </w:rPr>
        <w:t>100 % pour le second enrôlement d’office ;</w:t>
      </w:r>
    </w:p>
    <w:p w14:paraId="46A66210" w14:textId="77777777" w:rsidR="0022723E" w:rsidRPr="00C51D72" w:rsidRDefault="003C36C7">
      <w:pPr>
        <w:pStyle w:val="whP14pod"/>
        <w:numPr>
          <w:ilvl w:val="0"/>
          <w:numId w:val="31"/>
        </w:numPr>
        <w:tabs>
          <w:tab w:val="left" w:pos="922"/>
        </w:tabs>
        <w:rPr>
          <w:rFonts w:ascii="Times New Roman" w:hAnsi="Times New Roman" w:cs="Times New Roman"/>
          <w:sz w:val="22"/>
          <w:szCs w:val="22"/>
        </w:rPr>
      </w:pPr>
      <w:r w:rsidRPr="00C51D72">
        <w:rPr>
          <w:rFonts w:ascii="Times New Roman" w:hAnsi="Times New Roman" w:cs="Times New Roman"/>
          <w:sz w:val="22"/>
          <w:szCs w:val="22"/>
        </w:rPr>
        <w:t>200 % pour le troisième enrôlement d’office.</w:t>
      </w:r>
    </w:p>
    <w:p w14:paraId="780CE8B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Pour la détermination de l’échelle à appliquer, il y a 2ème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w:t>
      </w:r>
    </w:p>
    <w:p w14:paraId="2248735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507DE018"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infractions antérieures sont négligées si aucune infraction en la matière n'est sanctionnée pour les trois derniers exercices d'imposition qui précèdent celui pour lequel la nouvelle infraction doit être pénalisée.</w:t>
      </w:r>
    </w:p>
    <w:p w14:paraId="2153B419" w14:textId="6794FAA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Il est renoncé à l’accroissement d’impôt pour la première infraction commise de bonne foi. </w:t>
      </w:r>
    </w:p>
    <w:p w14:paraId="2330F102" w14:textId="77777777" w:rsidR="0022723E" w:rsidRPr="00C51D72" w:rsidRDefault="003C36C7">
      <w:pPr>
        <w:pStyle w:val="whP2pod"/>
        <w:rPr>
          <w:rFonts w:ascii="Times New Roman" w:hAnsi="Times New Roman" w:cs="Times New Roman"/>
          <w:sz w:val="22"/>
          <w:szCs w:val="22"/>
        </w:rPr>
      </w:pPr>
      <w:r w:rsidRPr="005B106B">
        <w:rPr>
          <w:rStyle w:val="whP1pod"/>
          <w:rFonts w:ascii="Times New Roman" w:hAnsi="Times New Roman" w:cs="Times New Roman"/>
          <w:b w:val="0"/>
          <w:bCs/>
          <w:sz w:val="22"/>
          <w:szCs w:val="22"/>
        </w:rPr>
        <w:t>Article 10 –</w:t>
      </w:r>
      <w:r w:rsidRPr="00C51D72">
        <w:rPr>
          <w:rStyle w:val="whP1pod"/>
          <w:rFonts w:ascii="Times New Roman" w:hAnsi="Times New Roman" w:cs="Times New Roman"/>
          <w:sz w:val="22"/>
          <w:szCs w:val="22"/>
        </w:rPr>
        <w:t xml:space="preserve"> </w:t>
      </w:r>
      <w:r w:rsidRPr="00C51D72">
        <w:rPr>
          <w:rFonts w:ascii="Times New Roman" w:hAnsi="Times New Roman" w:cs="Times New Roman"/>
          <w:sz w:val="22"/>
          <w:szCs w:val="22"/>
        </w:rPr>
        <w:t>En cas de non-paiement de la taxe à l'échéance fixée à l'article 7, conformément à l’article L3321-8bis du Code de la démocratie locale et de la décentralisation, une sommation de payer sera envoyée au contribuable.</w:t>
      </w:r>
    </w:p>
    <w:p w14:paraId="745D998D" w14:textId="59607E1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sommation de payer se fera par courrier recommandé et les frais postaux de cet envoi seront à charge du redevable. Ces frais seront recouvrés de la même manière que la taxe à laquelle ils se rapportent. </w:t>
      </w:r>
    </w:p>
    <w:p w14:paraId="45D8BBF8"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 xml:space="preserve">Article 11 </w:t>
      </w:r>
    </w:p>
    <w:p w14:paraId="485ABD3C" w14:textId="65D1E56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clauses concernant l'établissement, le recouvrement et le contentieux sont celles des articles L3321-1 à L3321-12 du Code de la démocratie locale et de la décentralisation et de l'arrêté royal du 12 avril 1999, déterminant la procédure devant le gouverneur et devant le collège des bourgmestre et Echevins en matière de réclamation contre une imposition provinciale ou communale. </w:t>
      </w:r>
    </w:p>
    <w:p w14:paraId="5C1A8C9F" w14:textId="77777777" w:rsidR="0022723E" w:rsidRPr="00C51D72" w:rsidRDefault="003C36C7">
      <w:pPr>
        <w:pStyle w:val="whP2pod"/>
        <w:rPr>
          <w:rFonts w:ascii="Times New Roman" w:hAnsi="Times New Roman" w:cs="Times New Roman"/>
          <w:sz w:val="22"/>
          <w:szCs w:val="22"/>
        </w:rPr>
      </w:pPr>
      <w:r w:rsidRPr="005B106B">
        <w:rPr>
          <w:rStyle w:val="whP1pod"/>
          <w:rFonts w:ascii="Times New Roman" w:hAnsi="Times New Roman" w:cs="Times New Roman"/>
          <w:b w:val="0"/>
          <w:bCs/>
          <w:sz w:val="22"/>
          <w:szCs w:val="22"/>
        </w:rPr>
        <w:t>Article 12</w:t>
      </w:r>
      <w:r w:rsidRPr="005B106B">
        <w:rPr>
          <w:rFonts w:ascii="Times New Roman" w:hAnsi="Times New Roman" w:cs="Times New Roman"/>
          <w:b/>
          <w:bCs/>
          <w:sz w:val="22"/>
          <w:szCs w:val="22"/>
        </w:rPr>
        <w:t> -</w:t>
      </w:r>
      <w:r w:rsidRPr="00C51D72">
        <w:rPr>
          <w:rFonts w:ascii="Times New Roman" w:hAnsi="Times New Roman" w:cs="Times New Roman"/>
          <w:sz w:val="22"/>
          <w:szCs w:val="22"/>
        </w:rPr>
        <w:t xml:space="preserve"> Le traitement de données à caractère personnel nécessaire à la mise en œuvre du présent règlement se fera suivant les règles suivantes :</w:t>
      </w:r>
    </w:p>
    <w:p w14:paraId="0191AA3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4C3B125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  Finalité du traitement : établissement et recouvrement de la redevance ;</w:t>
      </w:r>
    </w:p>
    <w:p w14:paraId="113C373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4E1F8F4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2BC85D2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64B70A7F" w14:textId="4059E72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5D1A8A0B"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13</w:t>
      </w:r>
    </w:p>
    <w:p w14:paraId="40E33F4F" w14:textId="5406658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présente délibération sera transmise au Gouvernement wallon conformément aux articles L3131-1 et suivants du Code de la Démocratie Locale et de la Décentralisation pour exercice de la tutelle spéciale d’approbation. </w:t>
      </w:r>
    </w:p>
    <w:p w14:paraId="69007FE8" w14:textId="7777777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14</w:t>
      </w:r>
    </w:p>
    <w:p w14:paraId="0917D82D" w14:textId="59B030DC" w:rsidR="0022723E" w:rsidRPr="00C51D72" w:rsidRDefault="003C36C7" w:rsidP="005B106B">
      <w:pPr>
        <w:pStyle w:val="whP2pod"/>
        <w:rPr>
          <w:rFonts w:ascii="Times New Roman" w:hAnsi="Times New Roman" w:cs="Times New Roman"/>
          <w:color w:val="000000"/>
          <w:sz w:val="22"/>
          <w:szCs w:val="22"/>
        </w:rPr>
      </w:pPr>
      <w:r w:rsidRPr="00C51D72">
        <w:rPr>
          <w:rFonts w:ascii="Times New Roman" w:hAnsi="Times New Roman" w:cs="Times New Roman"/>
          <w:sz w:val="22"/>
          <w:szCs w:val="22"/>
        </w:rPr>
        <w:t>Le présent règlement entrera en vigueur après accomplissement des formalités de la publication faites conformément aux articles L1133-1 à 2 du Code de la Démocratie Locale et de la Décentralisation.</w:t>
      </w:r>
    </w:p>
    <w:p w14:paraId="72CCDDAF"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8616A47" w14:textId="77777777" w:rsidR="0022723E" w:rsidRPr="00C51D72" w:rsidRDefault="003C36C7">
      <w:pPr>
        <w:pStyle w:val="Titre2"/>
        <w:tabs>
          <w:tab w:val="left" w:pos="1020"/>
        </w:tabs>
        <w:spacing w:before="0" w:after="113"/>
        <w:ind w:left="510" w:hanging="510"/>
        <w:jc w:val="both"/>
        <w:rPr>
          <w:rFonts w:cs="Times New Roman"/>
          <w:szCs w:val="22"/>
        </w:rPr>
      </w:pPr>
      <w:bookmarkStart w:id="13" w:name="__RefHeading___Toc1768_349934923613"/>
      <w:bookmarkEnd w:id="13"/>
      <w:r w:rsidRPr="00C51D72">
        <w:rPr>
          <w:rFonts w:cs="Times New Roman"/>
          <w:color w:val="000000"/>
          <w:szCs w:val="22"/>
          <w:u w:val="none"/>
        </w:rPr>
        <w:t>14.</w:t>
      </w:r>
      <w:r w:rsidRPr="00C51D72">
        <w:rPr>
          <w:rFonts w:cs="Times New Roman"/>
          <w:color w:val="000000"/>
          <w:szCs w:val="22"/>
          <w:u w:val="none"/>
        </w:rPr>
        <w:tab/>
      </w:r>
      <w:r w:rsidRPr="00C51D72">
        <w:rPr>
          <w:rFonts w:cs="Times New Roman"/>
          <w:caps/>
          <w:color w:val="000000"/>
          <w:szCs w:val="22"/>
        </w:rPr>
        <w:t>REDEVANCE SUR LE DÉBOUCHAGE ET L’INSPECTION DE RACCORDEMENTS PARTICULIERS À L'ÉGOUT PUBLIC – EXERCICES 2026 A 2027.</w:t>
      </w:r>
    </w:p>
    <w:p w14:paraId="0C36E842"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05CACF30" w14:textId="574F3B3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173 ; </w:t>
      </w:r>
    </w:p>
    <w:p w14:paraId="1B4EB4D5" w14:textId="15A092C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 </w:t>
      </w:r>
    </w:p>
    <w:p w14:paraId="72C56EDF" w14:textId="4C2B297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506C2862" w14:textId="2EE39AC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l’article L1122-30 ; </w:t>
      </w:r>
    </w:p>
    <w:p w14:paraId="6374705D" w14:textId="6CB542C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redevances communales ; </w:t>
      </w:r>
    </w:p>
    <w:p w14:paraId="0E49F8D7" w14:textId="00D04DA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00546A62" w14:textId="524096E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30C7D039" w14:textId="12EADAF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cette redevance ne sera due par le particulier que si l'inspection démontre une quelconque négligence de sa part ; </w:t>
      </w:r>
    </w:p>
    <w:p w14:paraId="1E2927F1" w14:textId="56DF050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en date du 29 octobre 2025 ; </w:t>
      </w:r>
    </w:p>
    <w:p w14:paraId="66688D81" w14:textId="44CFD7F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08AB2CC1" w14:textId="749C3DE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2A3370B7" w14:textId="29006CDD" w:rsidR="0022723E" w:rsidRPr="005B106B" w:rsidRDefault="003C36C7">
      <w:pPr>
        <w:pStyle w:val="whP2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À l’unanimité ;</w:t>
      </w:r>
      <w:r w:rsidRPr="005B106B">
        <w:rPr>
          <w:rFonts w:ascii="Times New Roman" w:hAnsi="Times New Roman" w:cs="Times New Roman"/>
          <w:b/>
          <w:bCs/>
          <w:sz w:val="22"/>
          <w:szCs w:val="22"/>
        </w:rPr>
        <w:t> </w:t>
      </w:r>
    </w:p>
    <w:p w14:paraId="1F53F7E9" w14:textId="105D23F1" w:rsidR="0022723E" w:rsidRPr="005B106B" w:rsidRDefault="003C36C7">
      <w:pPr>
        <w:pStyle w:val="whP2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ARRÊTE :</w:t>
      </w:r>
      <w:r w:rsidRPr="005B106B">
        <w:rPr>
          <w:rFonts w:ascii="Times New Roman" w:hAnsi="Times New Roman" w:cs="Times New Roman"/>
          <w:b/>
          <w:bCs/>
          <w:sz w:val="22"/>
          <w:szCs w:val="22"/>
        </w:rPr>
        <w:t> </w:t>
      </w:r>
    </w:p>
    <w:p w14:paraId="701EDDA2" w14:textId="60389D3B"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Fonts w:ascii="Times New Roman" w:hAnsi="Times New Roman" w:cs="Times New Roman"/>
          <w:sz w:val="22"/>
          <w:szCs w:val="22"/>
        </w:rPr>
        <w:t xml:space="preserve"> : Il est établi au profit de la Commune, pour les exercices 2026 à 2027 inclus, une redevance sur le débouchage et l’inspection par les soins et aux frais de la Commune, de raccordements particuliers à l’égout public. </w:t>
      </w:r>
    </w:p>
    <w:p w14:paraId="6B297E12"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2</w:t>
      </w:r>
      <w:r w:rsidRPr="00C51D72">
        <w:rPr>
          <w:rFonts w:ascii="Times New Roman" w:hAnsi="Times New Roman" w:cs="Times New Roman"/>
          <w:sz w:val="22"/>
          <w:szCs w:val="22"/>
        </w:rPr>
        <w:t xml:space="preserve"> : Le montant de la redevance est fixé à un montant forfaitaire de </w:t>
      </w:r>
      <w:r w:rsidRPr="005B106B">
        <w:rPr>
          <w:rStyle w:val="whP3pod"/>
          <w:rFonts w:ascii="Times New Roman" w:hAnsi="Times New Roman" w:cs="Times New Roman"/>
          <w:b w:val="0"/>
          <w:bCs/>
          <w:sz w:val="22"/>
          <w:szCs w:val="22"/>
        </w:rPr>
        <w:t>1.500 €</w:t>
      </w:r>
      <w:r w:rsidRPr="005B106B">
        <w:rPr>
          <w:rFonts w:ascii="Times New Roman" w:hAnsi="Times New Roman" w:cs="Times New Roman"/>
          <w:b/>
          <w:bCs/>
          <w:sz w:val="22"/>
          <w:szCs w:val="22"/>
        </w:rPr>
        <w:t>.</w:t>
      </w:r>
    </w:p>
    <w:p w14:paraId="31D659D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total de la redevance ainsi obtenu représente l’intervention du riverain dans le coût de débouchage et d’inspection de son raccordement sous domaine privé ou sous domaine public si l’inspection prouve que le bouchon est dû à la négligence du particulier raccordé.</w:t>
      </w:r>
    </w:p>
    <w:p w14:paraId="20D014F9" w14:textId="76F4C19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L'intervention qui entraîne une dépense supérieure au taux forfaitaire prévu sera facturée sur base d'un décompte des frais réels. </w:t>
      </w:r>
    </w:p>
    <w:p w14:paraId="3A3307FE" w14:textId="26B4946E"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w:t>
      </w:r>
      <w:r w:rsidRPr="00C51D72">
        <w:rPr>
          <w:rFonts w:ascii="Times New Roman" w:hAnsi="Times New Roman" w:cs="Times New Roman"/>
          <w:sz w:val="22"/>
          <w:szCs w:val="22"/>
        </w:rPr>
        <w:t xml:space="preserve"> : La redevance est due, solidairement, par le propriétaire de l’immeuble raccordé et, s’il en existe, par l’usufruitier, l’emphytéote, le superficiaire ou le possesseur à quelque autre titre. </w:t>
      </w:r>
    </w:p>
    <w:p w14:paraId="21963613" w14:textId="78AF051E"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xml:space="preserve"> : La redevance n’est pas applicable en cas de raccordement d’immeubles appartenant aux pouvoirs publics et affectés à un service d’utilité publique, gratuit ou non. </w:t>
      </w:r>
    </w:p>
    <w:p w14:paraId="1AA52AD5"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5</w:t>
      </w:r>
      <w:r w:rsidRPr="00C51D72">
        <w:rPr>
          <w:rFonts w:ascii="Times New Roman" w:hAnsi="Times New Roman" w:cs="Times New Roman"/>
          <w:sz w:val="22"/>
          <w:szCs w:val="22"/>
        </w:rPr>
        <w:t xml:space="preserve"> : La redevance est payable immédiatement après la réception par le redevable de l’ordre de paiement lui adressé par l’administration communale, et selon les modalités figurant sur celle-ci</w:t>
      </w:r>
    </w:p>
    <w:p w14:paraId="4D68DC2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demande assortie d’un engagement formel, les redevables sont autorisés à se libérer de la redevance en cinq versements annuels.</w:t>
      </w:r>
    </w:p>
    <w:p w14:paraId="4AD1EB6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montant de chaque versement annuel s’élèvera dans ce cas à un cinquième du montant de la redevance augmenté de l’intérêt du solde à percevoir au taux fixé par Belfius pour les emprunts de même durée à la date d’achèvement de la mission de débouchage et d’inspection du raccordement. En cas de cession de l’immeuble, le solde sera immédiatement exigible.</w:t>
      </w:r>
    </w:p>
    <w:p w14:paraId="723FB8B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119DFB1B" w14:textId="77777777" w:rsidR="0022723E" w:rsidRPr="00C51D72" w:rsidRDefault="003C36C7">
      <w:pPr>
        <w:pStyle w:val="whP29pod"/>
        <w:rPr>
          <w:rFonts w:ascii="Times New Roman" w:hAnsi="Times New Roman" w:cs="Times New Roman"/>
          <w:sz w:val="22"/>
          <w:szCs w:val="22"/>
        </w:rPr>
      </w:pPr>
      <w:r w:rsidRPr="00C51D72">
        <w:rPr>
          <w:rStyle w:val="whP6pod"/>
          <w:rFonts w:ascii="Times New Roman" w:hAnsi="Times New Roman" w:cs="Times New Roman"/>
          <w:sz w:val="22"/>
          <w:szCs w:val="22"/>
        </w:rPr>
        <w:lastRenderedPageBreak/>
        <w:t>Article 6</w:t>
      </w:r>
      <w:r w:rsidRPr="00C51D72">
        <w:rPr>
          <w:rFonts w:ascii="Times New Roman" w:hAnsi="Times New Roman" w:cs="Times New Roman"/>
          <w:sz w:val="22"/>
          <w:szCs w:val="22"/>
        </w:rPr>
        <w:t xml:space="preserve"> : À défaut de paiement de la redevance, dans le cadre du recouvrement amiable, un rappel par envoi simple sera envoyé au redevable. Ce rappel est gratuit.</w:t>
      </w:r>
    </w:p>
    <w:p w14:paraId="74B6FE51"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l'issue de ce rappel, en cas de non-paiement dans un délai de 14 jours calendrier qui prend cours le troisième jour ouvrable qui suit celui où le rappel a été envoyé, conformément à l'article L 1124-40 du Code de la Démocratie Locale et de la Décentralisation, le débiteur sera mis en demeure par courrier recommandé. Les frais administratifs inhérents à cet envoi seront mis en charge du redevable et s'élèveront à 15 €. Ce montant sera ajouté au principal sur le document de rappel.</w:t>
      </w:r>
    </w:p>
    <w:p w14:paraId="2B475C84"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défaut de paiement, pour autant que la créance soit certaine, liquide et exigible, le Directeur financier fait signifier par exploit d’huissier une contrainte visée et rendue exécutoire par le Collège communal. Cette signification interrompt la prescription. Un recours contre cette contrainte peut être introduit dans le mois de signification par requête ou citation. Les frais administratifs inhérents à ces rappels sont recouvrés par la même contrainte.</w:t>
      </w:r>
    </w:p>
    <w:p w14:paraId="1BDEF66C" w14:textId="6D6442D6" w:rsidR="0022723E" w:rsidRPr="00C51D72" w:rsidRDefault="003C36C7" w:rsidP="005B106B">
      <w:pPr>
        <w:pStyle w:val="whP29pod"/>
        <w:rPr>
          <w:rFonts w:ascii="Times New Roman" w:hAnsi="Times New Roman" w:cs="Times New Roman"/>
          <w:sz w:val="22"/>
          <w:szCs w:val="22"/>
        </w:rPr>
      </w:pPr>
      <w:r w:rsidRPr="00C51D72">
        <w:rPr>
          <w:rFonts w:ascii="Times New Roman" w:hAnsi="Times New Roman" w:cs="Times New Roman"/>
          <w:sz w:val="22"/>
          <w:szCs w:val="22"/>
        </w:rPr>
        <w:t>En cas d'inapplicabilité de l'article L1124-40 du Code de la Démocratie Locale et de la Décentralisation, le recouvrement s'effectue devant les juridictions compétentes. </w:t>
      </w:r>
    </w:p>
    <w:p w14:paraId="45D3D84E" w14:textId="3A64FE29"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7</w:t>
      </w:r>
      <w:r w:rsidRPr="00C51D72">
        <w:rPr>
          <w:rFonts w:ascii="Times New Roman" w:hAnsi="Times New Roman" w:cs="Times New Roman"/>
          <w:sz w:val="22"/>
          <w:szCs w:val="22"/>
        </w:rPr>
        <w:t xml:space="preserve"> : Les dispositions du règlement relatif à la redevance sur le débouchage et l’inspection de raccordements particuliers à l’égout public antérieurement en vigueur restent applicables pour régir les effets des situations nées durant leur période d’application. </w:t>
      </w:r>
    </w:p>
    <w:p w14:paraId="6B1E1235"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Article 8 - </w:t>
      </w: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7BAD6E5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476EFFC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redevance ;</w:t>
      </w:r>
    </w:p>
    <w:p w14:paraId="085879F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454B194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6D155C88"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774DA302" w14:textId="4F772C7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0090CAB2" w14:textId="29F15BDF"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9 :</w:t>
      </w:r>
      <w:r w:rsidRPr="00C51D72">
        <w:rPr>
          <w:rFonts w:ascii="Times New Roman" w:hAnsi="Times New Roman" w:cs="Times New Roman"/>
          <w:sz w:val="22"/>
          <w:szCs w:val="22"/>
        </w:rPr>
        <w:t xml:space="preserve"> La présente délibération sera transmise au Gouvernement Wallon conformément aux articles L3131-1 et suivants dans le cadre de la tutelle spéciale d’approbation. </w:t>
      </w:r>
    </w:p>
    <w:p w14:paraId="7A9E95F9" w14:textId="5B92F193" w:rsidR="0022723E" w:rsidRPr="00C51D72" w:rsidRDefault="003C36C7" w:rsidP="005B106B">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t>Article 10</w:t>
      </w:r>
      <w:r w:rsidRPr="00C51D72">
        <w:rPr>
          <w:rFonts w:ascii="Times New Roman" w:hAnsi="Times New Roman" w:cs="Times New Roman"/>
          <w:sz w:val="22"/>
          <w:szCs w:val="22"/>
        </w:rPr>
        <w:t> : La présente délibération entrera en vigueur après accomplissement des formalités de la publication faites conformément aux articles L1133-1 et L1133-2 du Code de la Démocratie Locale et de la Décentralisation.</w:t>
      </w:r>
    </w:p>
    <w:p w14:paraId="30EC5D6E"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76C9150E" w14:textId="77777777" w:rsidR="0022723E" w:rsidRPr="00C51D72" w:rsidRDefault="003C36C7">
      <w:pPr>
        <w:pStyle w:val="Titre2"/>
        <w:tabs>
          <w:tab w:val="left" w:pos="1020"/>
        </w:tabs>
        <w:spacing w:before="0" w:after="113"/>
        <w:ind w:left="510" w:hanging="510"/>
        <w:jc w:val="both"/>
        <w:rPr>
          <w:rFonts w:cs="Times New Roman"/>
          <w:szCs w:val="22"/>
        </w:rPr>
      </w:pPr>
      <w:bookmarkStart w:id="14" w:name="__RefHeading___Toc1768_349934923614"/>
      <w:bookmarkEnd w:id="14"/>
      <w:r w:rsidRPr="00C51D72">
        <w:rPr>
          <w:rFonts w:cs="Times New Roman"/>
          <w:color w:val="000000"/>
          <w:szCs w:val="22"/>
          <w:u w:val="none"/>
        </w:rPr>
        <w:t>15.</w:t>
      </w:r>
      <w:r w:rsidRPr="00C51D72">
        <w:rPr>
          <w:rFonts w:cs="Times New Roman"/>
          <w:color w:val="000000"/>
          <w:szCs w:val="22"/>
          <w:u w:val="none"/>
        </w:rPr>
        <w:tab/>
      </w:r>
      <w:r w:rsidRPr="00C51D72">
        <w:rPr>
          <w:rFonts w:cs="Times New Roman"/>
          <w:caps/>
          <w:color w:val="000000"/>
          <w:szCs w:val="22"/>
        </w:rPr>
        <w:t>REDEVANCE DE REMBOURSEMENT SUR LES TRAVAUX D'INFLEXION DANS LES TROTTOIRS - EXERCICES 2026 À 2027.</w:t>
      </w:r>
    </w:p>
    <w:p w14:paraId="1B39C0F6"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1A61433F" w14:textId="2F4A7CA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173 ; </w:t>
      </w:r>
    </w:p>
    <w:p w14:paraId="40940AF4" w14:textId="579BF95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 </w:t>
      </w:r>
    </w:p>
    <w:p w14:paraId="467B2738" w14:textId="15BA4C9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748D40F8" w14:textId="2717F9B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l’article L1122-30 ; </w:t>
      </w:r>
    </w:p>
    <w:p w14:paraId="75EEE2CF" w14:textId="5DD4C82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redevances communales ; </w:t>
      </w:r>
    </w:p>
    <w:p w14:paraId="1205D500" w14:textId="470FBA7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304607F4" w14:textId="417049F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20B3D25F" w14:textId="0BD20BB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infrastructures et équipements, dont est ou sera équipée la voie publique, sont de nature à apporter une plus-value au bien immobilier sis à front de ladite voie publique ; </w:t>
      </w:r>
    </w:p>
    <w:p w14:paraId="14B76228" w14:textId="1418C29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ces infrastructures et équipements sont réalisés à l’initiative de la Commune ; que celle-ci ne peut mettre à la charge de la collectivité, dans son ensemble, le coût de la réalisation des travaux alors que ceux-ci profitent principalement aux riverains ; que dès lors, la plus-value des biens immobiliers appartenant, aux propriétaires riverains ne peut être supportée par l’ensemble des citoyens ; </w:t>
      </w:r>
    </w:p>
    <w:p w14:paraId="7F097E55" w14:textId="14EE543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 </w:t>
      </w:r>
    </w:p>
    <w:p w14:paraId="061743CB" w14:textId="16221D7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Que celui-ci a accusé réception du projet de règlement ainsi que du dossier y afférent en date du 29 octobre 2025 ; </w:t>
      </w:r>
    </w:p>
    <w:p w14:paraId="52845556" w14:textId="35D0793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2BF74A9F" w14:textId="19C7859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la proposition du Collège communal ; </w:t>
      </w:r>
    </w:p>
    <w:p w14:paraId="363D7520" w14:textId="165D557E" w:rsidR="0022723E" w:rsidRPr="005B106B" w:rsidRDefault="003C36C7">
      <w:pPr>
        <w:pStyle w:val="whP2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À l'unanimité,</w:t>
      </w:r>
      <w:r w:rsidRPr="005B106B">
        <w:rPr>
          <w:rFonts w:ascii="Times New Roman" w:hAnsi="Times New Roman" w:cs="Times New Roman"/>
          <w:b/>
          <w:bCs/>
          <w:sz w:val="22"/>
          <w:szCs w:val="22"/>
        </w:rPr>
        <w:t> </w:t>
      </w:r>
    </w:p>
    <w:p w14:paraId="5028CF15" w14:textId="15A56F82" w:rsidR="0022723E" w:rsidRPr="005B106B" w:rsidRDefault="003C36C7">
      <w:pPr>
        <w:pStyle w:val="whP2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ARRÊTE :</w:t>
      </w:r>
      <w:r w:rsidRPr="005B106B">
        <w:rPr>
          <w:rFonts w:ascii="Times New Roman" w:hAnsi="Times New Roman" w:cs="Times New Roman"/>
          <w:b/>
          <w:bCs/>
          <w:sz w:val="22"/>
          <w:szCs w:val="22"/>
        </w:rPr>
        <w:t> </w:t>
      </w:r>
    </w:p>
    <w:p w14:paraId="528BECEB" w14:textId="06B39291"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lastRenderedPageBreak/>
        <w:t>Article 1</w:t>
      </w:r>
      <w:r w:rsidRPr="00C51D72">
        <w:rPr>
          <w:rFonts w:ascii="Times New Roman" w:hAnsi="Times New Roman" w:cs="Times New Roman"/>
          <w:sz w:val="22"/>
          <w:szCs w:val="22"/>
        </w:rPr>
        <w:t xml:space="preserve"> : Il est établi au profit de la Commune, pour les exercices 2026 à 2027 inclus une redevance communale destinée à rembourser les travaux d’inflexion dans les trottoirs. </w:t>
      </w:r>
    </w:p>
    <w:p w14:paraId="5D0CDC58"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Article 2 </w:t>
      </w:r>
      <w:r w:rsidRPr="00C51D72">
        <w:rPr>
          <w:rFonts w:ascii="Times New Roman" w:hAnsi="Times New Roman" w:cs="Times New Roman"/>
          <w:sz w:val="22"/>
          <w:szCs w:val="22"/>
        </w:rPr>
        <w:t>: Le taux de la redevance est fixé à :</w:t>
      </w:r>
    </w:p>
    <w:p w14:paraId="516E082A" w14:textId="77777777" w:rsidR="0022723E" w:rsidRPr="00C51D72" w:rsidRDefault="003C36C7">
      <w:pPr>
        <w:pStyle w:val="whP2pod"/>
        <w:rPr>
          <w:rFonts w:ascii="Times New Roman" w:hAnsi="Times New Roman" w:cs="Times New Roman"/>
          <w:sz w:val="22"/>
          <w:szCs w:val="22"/>
        </w:rPr>
      </w:pPr>
      <w:r w:rsidRPr="005B106B">
        <w:rPr>
          <w:rStyle w:val="whP3pod"/>
          <w:rFonts w:ascii="Times New Roman" w:hAnsi="Times New Roman" w:cs="Times New Roman"/>
          <w:b w:val="0"/>
          <w:bCs/>
          <w:sz w:val="22"/>
          <w:szCs w:val="22"/>
        </w:rPr>
        <w:t>- 85 €</w:t>
      </w:r>
      <w:r w:rsidRPr="00C51D72">
        <w:rPr>
          <w:rFonts w:ascii="Times New Roman" w:hAnsi="Times New Roman" w:cs="Times New Roman"/>
          <w:sz w:val="22"/>
          <w:szCs w:val="22"/>
        </w:rPr>
        <w:t xml:space="preserve"> par mètre courant de bordure abaissée ;</w:t>
      </w:r>
    </w:p>
    <w:p w14:paraId="053C1831" w14:textId="77777777" w:rsidR="0022723E" w:rsidRPr="00C51D72" w:rsidRDefault="003C36C7">
      <w:pPr>
        <w:pStyle w:val="whP2pod"/>
        <w:rPr>
          <w:rFonts w:ascii="Times New Roman" w:hAnsi="Times New Roman" w:cs="Times New Roman"/>
          <w:sz w:val="22"/>
          <w:szCs w:val="22"/>
        </w:rPr>
      </w:pPr>
      <w:r w:rsidRPr="00C51D72">
        <w:rPr>
          <w:rStyle w:val="whP3pod"/>
          <w:rFonts w:ascii="Times New Roman" w:hAnsi="Times New Roman" w:cs="Times New Roman"/>
          <w:sz w:val="22"/>
          <w:szCs w:val="22"/>
        </w:rPr>
        <w:t>- </w:t>
      </w:r>
      <w:r w:rsidRPr="005B106B">
        <w:rPr>
          <w:rStyle w:val="whP3pod"/>
          <w:rFonts w:ascii="Times New Roman" w:hAnsi="Times New Roman" w:cs="Times New Roman"/>
          <w:b w:val="0"/>
          <w:bCs/>
          <w:sz w:val="22"/>
          <w:szCs w:val="22"/>
        </w:rPr>
        <w:t>80 €</w:t>
      </w:r>
      <w:r w:rsidRPr="00C51D72">
        <w:rPr>
          <w:rFonts w:ascii="Times New Roman" w:hAnsi="Times New Roman" w:cs="Times New Roman"/>
          <w:sz w:val="22"/>
          <w:szCs w:val="22"/>
        </w:rPr>
        <w:t xml:space="preserve"> par mètre carré de trottoir modifié (revêtement en pavés, dalles, béton, béton hydrocarboné) ;</w:t>
      </w:r>
    </w:p>
    <w:p w14:paraId="6D78B69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 une somme forfaitaire de </w:t>
      </w:r>
      <w:r w:rsidRPr="005B106B">
        <w:rPr>
          <w:rStyle w:val="whP3pod"/>
          <w:rFonts w:ascii="Times New Roman" w:hAnsi="Times New Roman" w:cs="Times New Roman"/>
          <w:b w:val="0"/>
          <w:bCs/>
          <w:sz w:val="22"/>
          <w:szCs w:val="22"/>
        </w:rPr>
        <w:t xml:space="preserve">400 € </w:t>
      </w:r>
      <w:r w:rsidRPr="00C51D72">
        <w:rPr>
          <w:rFonts w:ascii="Times New Roman" w:hAnsi="Times New Roman" w:cs="Times New Roman"/>
          <w:sz w:val="22"/>
          <w:szCs w:val="22"/>
        </w:rPr>
        <w:t>sera demandée pour tout abaissement ou enlèvement d’avaloir.</w:t>
      </w:r>
    </w:p>
    <w:p w14:paraId="3A4E632C" w14:textId="320A6AF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L’intervention du propriétaire riverain sera proportionnelle aux quantités exécutées. </w:t>
      </w:r>
    </w:p>
    <w:p w14:paraId="58F58931" w14:textId="54B6589A"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w:t>
      </w:r>
      <w:r w:rsidRPr="00C51D72">
        <w:rPr>
          <w:rFonts w:ascii="Times New Roman" w:hAnsi="Times New Roman" w:cs="Times New Roman"/>
          <w:sz w:val="22"/>
          <w:szCs w:val="22"/>
        </w:rPr>
        <w:t xml:space="preserve"> : La redevance est due, solidairement, par le propriétaire riverain au moment de l’achèvement des travaux ou, s’il en existe, par l’usufruitier, l’emphytéote, le superficiaire, le possesseur à quelque autre titre, ou le locataire ou occupant demandeur. </w:t>
      </w:r>
    </w:p>
    <w:p w14:paraId="5E9D06D3"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xml:space="preserve"> :</w:t>
      </w:r>
    </w:p>
    <w:p w14:paraId="491BA75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redevance est payable, dans les 30 jours à dater de la réception de la facture adressée au redevable par l’administration communale et selon les modalités figurant sur celle-ci.</w:t>
      </w:r>
    </w:p>
    <w:p w14:paraId="44EEA006"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A défaut de paiement de la redevance dans le délai prescrit, dans le cadre du recouvrement amiable, un rappel par envoi simple sera envoyé au redevable. Ce rappel est gratuit.</w:t>
      </w:r>
    </w:p>
    <w:p w14:paraId="117DD89B"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A l'issue de ce rappel, en cas de non-paiement dans un délai de 14 jours calendrier qui prend cours le troisième jour ouvrable qui suit celui où le rappel a été envoyé, conformément à l'article L 1124-40 du Code de la Démocratie Locale et de la Décentralisation, le débiteur sera mis en demeure par courrier recommandé. Les frais administratifs inhérents à cet envoi seront mis en charge du redevable et s'élèveront à 15 €. Ce montant sera ajouté au principal sur le document de rappel.</w:t>
      </w:r>
    </w:p>
    <w:p w14:paraId="23EB5E4B"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A défaut de paiement, pour autant que la créance soit certaine, liquide et exigible, le Directeur financier fait signifier par exploit d’huissier une contrainte visée et rendue exécutoire par le Collège communal. Cette signification interrompt la prescription. Un recours contre cette contrainte peut être introduit dans le mois de signification par requête ou citation. Les frais administratifs inhérents à ces rappels sont recouvrés par la même contrainte.</w:t>
      </w:r>
    </w:p>
    <w:p w14:paraId="1E427FA0" w14:textId="7271E1BC" w:rsidR="0022723E" w:rsidRPr="00C51D72" w:rsidRDefault="003C36C7" w:rsidP="005B106B">
      <w:pPr>
        <w:pStyle w:val="whP29pod"/>
        <w:rPr>
          <w:rFonts w:ascii="Times New Roman" w:hAnsi="Times New Roman" w:cs="Times New Roman"/>
          <w:sz w:val="22"/>
          <w:szCs w:val="22"/>
        </w:rPr>
      </w:pPr>
      <w:r w:rsidRPr="00C51D72">
        <w:rPr>
          <w:rFonts w:ascii="Times New Roman" w:hAnsi="Times New Roman" w:cs="Times New Roman"/>
          <w:sz w:val="22"/>
          <w:szCs w:val="22"/>
        </w:rPr>
        <w:t>En cas d'inapplicabilité de l'article L1124-40 du Code de la Démocratie Locale et de la Décentralisation, le recouvrement s'effectue devant les juridictions compétentes. </w:t>
      </w:r>
    </w:p>
    <w:p w14:paraId="7826EC3F"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5</w:t>
      </w:r>
      <w:r w:rsidRPr="00C51D72">
        <w:rPr>
          <w:rFonts w:ascii="Times New Roman" w:hAnsi="Times New Roman" w:cs="Times New Roman"/>
          <w:sz w:val="22"/>
          <w:szCs w:val="22"/>
        </w:rPr>
        <w:t xml:space="preserve"> : Le redevable de la présente redevance peut introduire, auprès du Collège communal, une réclamation dans les formes et délais et selon la procédure plus amplement décrite ci-après :</w:t>
      </w:r>
    </w:p>
    <w:p w14:paraId="084225E6"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Forme et délai de la réclamation </w:t>
      </w:r>
    </w:p>
    <w:p w14:paraId="6CB4A98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La réclamation doit, à peine de nullité, être faite par écrit, motivée et remise ou présentée par envoi postal </w:t>
      </w:r>
      <w:r w:rsidRPr="005B106B">
        <w:rPr>
          <w:rStyle w:val="whP3pod"/>
          <w:rFonts w:ascii="Times New Roman" w:hAnsi="Times New Roman" w:cs="Times New Roman"/>
          <w:b w:val="0"/>
          <w:bCs/>
          <w:sz w:val="22"/>
          <w:szCs w:val="22"/>
        </w:rPr>
        <w:t>dans un délai d'un an</w:t>
      </w:r>
      <w:r w:rsidRPr="005B106B">
        <w:rPr>
          <w:rFonts w:ascii="Times New Roman" w:hAnsi="Times New Roman" w:cs="Times New Roman"/>
          <w:b/>
          <w:bCs/>
          <w:sz w:val="22"/>
          <w:szCs w:val="22"/>
        </w:rPr>
        <w:t> </w:t>
      </w:r>
      <w:r w:rsidRPr="00C51D72">
        <w:rPr>
          <w:rFonts w:ascii="Times New Roman" w:hAnsi="Times New Roman" w:cs="Times New Roman"/>
          <w:sz w:val="22"/>
          <w:szCs w:val="22"/>
        </w:rPr>
        <w:t>à dater du 1er jour ouvrable qui suit le jour où le paiement est dû ou à dater du troisième jour ouvrable qui suit la date d’envoi de la facture.</w:t>
      </w:r>
    </w:p>
    <w:p w14:paraId="69D8194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réclamation doit être datée et signée par le(s) réclamant(s) ou son (leurs) représentant(s) et doit mentionner :</w:t>
      </w:r>
    </w:p>
    <w:p w14:paraId="224F6BA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les nom, qualité, adresse ou siège du (des) redevable(s) à charge duquel (desquels) la redevance est établie ;</w:t>
      </w:r>
    </w:p>
    <w:p w14:paraId="5BE0ABF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l'objet de la réclamation et un exposé des faits et moyens justifiant la demande de rectification ou d'annulation de la redevance.</w:t>
      </w:r>
    </w:p>
    <w:p w14:paraId="55332B6E"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Procédure de traitement de la réclamation et conséquences </w:t>
      </w:r>
    </w:p>
    <w:p w14:paraId="2715F3F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les motifs invoqués dans la réclamation n’impliquent aucune interprétation du présent règlement ou des dispositions légales régissant les services visés par la redevance, un courrier de réponse, statuant définitivement sur la réclamation sera adressé par recommandé au redevable dans les 2 mois au plus tard qui suivent la date de réception de la réclamation.</w:t>
      </w:r>
    </w:p>
    <w:p w14:paraId="103D8F9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les motifs invoqués dans la réclamation nécessitent une interprétation du règlement ou des dispositions légales régissant les services visés par la redevance, la réclamation fera l’objet d’une délibération du Collège échevinal, lequel pourra confirmer, rectifier ou annuler le montant de la redevance dans le respect des dispositions légales.</w:t>
      </w:r>
    </w:p>
    <w:p w14:paraId="24B98E0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décision du Collège sera :</w:t>
      </w:r>
    </w:p>
    <w:p w14:paraId="7D8AB95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rendue dans les 6 mois de la réception de la réclamation, sans, toutefois, que l’absence de décision puisse s'interpréter comme une décision favorable au redevable ;</w:t>
      </w:r>
    </w:p>
    <w:p w14:paraId="4DF6640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notifiée au redevable par courrier recommandé et ne sera pas susceptible de recours.</w:t>
      </w:r>
    </w:p>
    <w:p w14:paraId="006742D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Durant toute la procédure de traitement de la réclamation et jusqu’à la notification de la décision au redevable, la procédure de recouvrement tant amiable que forcée est suspendue. Les éventuelles procédures judiciaires de recouvrement entamées par le Directeur financier avant l’introduction de la réception de la réclamation seront également suspendues.</w:t>
      </w:r>
    </w:p>
    <w:p w14:paraId="147B3E9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rejet de la réclamation et dès le 3ème jour de la notification de la décision ou du courrier de réponse, la redevance contestée sera considérée comme certaine, liquide et immédiatement exigible, ce qui entraînera la reprise de la procédure de recouvrement par le Directeur financier.</w:t>
      </w:r>
    </w:p>
    <w:p w14:paraId="571C171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 défaut de paiement du redevable suite à la notification de la décision rejetant sa réclamation, le Collège sera tenu de rendre exécutoire une contrainte, conformément à l’article L1124-40 du CDLD.</w:t>
      </w:r>
    </w:p>
    <w:p w14:paraId="6BADDFF0"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Recours en justice contre la procédure de recouvrement forcé (contrainte)</w:t>
      </w:r>
    </w:p>
    <w:p w14:paraId="0874FAC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Le redevable poursuivi par voie de contrainte pourra introduire un recours en justice dans les formes et le délai prévus à l'article L1124-40 § 1er du CDLD.</w:t>
      </w:r>
    </w:p>
    <w:p w14:paraId="0AC4FF5B"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recours, le Directeur financier fera suspendre la procédure chez l’huissier de justice jusqu’à ce qu’une décision coulée en force de chose jugée soit rendue.</w:t>
      </w:r>
    </w:p>
    <w:p w14:paraId="42850AD8"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Election de for (compétence des juridictions) </w:t>
      </w:r>
    </w:p>
    <w:p w14:paraId="18372B30" w14:textId="15EDE8A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Toute contestation à naître de l'application du présent règlement relève de la compétence exclusive des Tribunaux de l’arrondissement judiciaire dans lequel est établie la commune. </w:t>
      </w:r>
    </w:p>
    <w:p w14:paraId="1780821E"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6 -</w:t>
      </w:r>
      <w:r w:rsidRPr="00C51D72">
        <w:rPr>
          <w:rFonts w:ascii="Times New Roman" w:hAnsi="Times New Roman" w:cs="Times New Roman"/>
          <w:sz w:val="22"/>
          <w:szCs w:val="22"/>
        </w:rPr>
        <w:t xml:space="preserve"> Le traitement de données à caractère personnel nécessaire à la mise en œuvre du présent règlement se fera suivant les règles suivantes :</w:t>
      </w:r>
    </w:p>
    <w:p w14:paraId="380C7CC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521BF43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redevance ;</w:t>
      </w:r>
    </w:p>
    <w:p w14:paraId="15751A4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487EF5E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49ABA6E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55B7FF72" w14:textId="6304069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4E248286" w14:textId="2C7DD594"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Article 7 : </w:t>
      </w:r>
      <w:r w:rsidRPr="00C51D72">
        <w:rPr>
          <w:rFonts w:ascii="Times New Roman" w:hAnsi="Times New Roman" w:cs="Times New Roman"/>
          <w:sz w:val="22"/>
          <w:szCs w:val="22"/>
        </w:rPr>
        <w:t>La présente délibération sera transmise au Gouvernement Wallon conformément aux articles L3131-1 et suivants dans le cadre de la tutelle spéciale d’approbation. </w:t>
      </w:r>
    </w:p>
    <w:p w14:paraId="4AD6EDB5" w14:textId="04ACB743" w:rsidR="0022723E" w:rsidRPr="00C51D72" w:rsidRDefault="003C36C7" w:rsidP="005B106B">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t xml:space="preserve">Article 8 </w:t>
      </w:r>
      <w:r w:rsidRPr="00C51D72">
        <w:rPr>
          <w:rFonts w:ascii="Times New Roman" w:hAnsi="Times New Roman" w:cs="Times New Roman"/>
          <w:sz w:val="22"/>
          <w:szCs w:val="22"/>
        </w:rPr>
        <w:t> : La présente délibération entrera en vigueur après accomplissement des formalités de la</w:t>
      </w:r>
      <w:r w:rsidR="005B3BFB">
        <w:rPr>
          <w:rFonts w:ascii="Times New Roman" w:hAnsi="Times New Roman" w:cs="Times New Roman"/>
          <w:sz w:val="22"/>
          <w:szCs w:val="22"/>
        </w:rPr>
        <w:t xml:space="preserve"> </w:t>
      </w:r>
      <w:r w:rsidRPr="00C51D72">
        <w:rPr>
          <w:rFonts w:ascii="Times New Roman" w:hAnsi="Times New Roman" w:cs="Times New Roman"/>
          <w:sz w:val="22"/>
          <w:szCs w:val="22"/>
        </w:rPr>
        <w:t>publication conformément aux articles L1133-1 et L1133-2 du Code de la Démocratie Locale et de la Décentralisation.</w:t>
      </w:r>
    </w:p>
    <w:p w14:paraId="326A16B7"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2AF63BC7" w14:textId="77777777" w:rsidR="0022723E" w:rsidRPr="00C51D72" w:rsidRDefault="003C36C7">
      <w:pPr>
        <w:pStyle w:val="Titre2"/>
        <w:tabs>
          <w:tab w:val="left" w:pos="1020"/>
        </w:tabs>
        <w:spacing w:before="0" w:after="113"/>
        <w:ind w:left="510" w:hanging="510"/>
        <w:jc w:val="both"/>
        <w:rPr>
          <w:rFonts w:cs="Times New Roman"/>
          <w:szCs w:val="22"/>
        </w:rPr>
      </w:pPr>
      <w:bookmarkStart w:id="15" w:name="__RefHeading___Toc1768_349934923615"/>
      <w:bookmarkEnd w:id="15"/>
      <w:r w:rsidRPr="00C51D72">
        <w:rPr>
          <w:rFonts w:cs="Times New Roman"/>
          <w:color w:val="000000"/>
          <w:szCs w:val="22"/>
          <w:u w:val="none"/>
        </w:rPr>
        <w:t>16.</w:t>
      </w:r>
      <w:r w:rsidRPr="00C51D72">
        <w:rPr>
          <w:rFonts w:cs="Times New Roman"/>
          <w:color w:val="000000"/>
          <w:szCs w:val="22"/>
          <w:u w:val="none"/>
        </w:rPr>
        <w:tab/>
      </w:r>
      <w:r w:rsidRPr="00C51D72">
        <w:rPr>
          <w:rFonts w:cs="Times New Roman"/>
          <w:caps/>
          <w:color w:val="000000"/>
          <w:szCs w:val="22"/>
        </w:rPr>
        <w:t>CAUTION APPLICABLE AU PRÊT DE MATÉRIEL.</w:t>
      </w:r>
    </w:p>
    <w:p w14:paraId="43601E34"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41F6EA16" w14:textId="7AB2408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Nouvelle Loi communale ; </w:t>
      </w:r>
    </w:p>
    <w:p w14:paraId="01B7A197" w14:textId="2362940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général de Police ; </w:t>
      </w:r>
    </w:p>
    <w:p w14:paraId="3D3E14E7" w14:textId="17D666E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le matériel prêté par l’administration communale de Remicourt doit lui être restitué en bon état et dans des délais raisonnables ; </w:t>
      </w:r>
    </w:p>
    <w:p w14:paraId="5B88AAAF" w14:textId="17367DE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demande croissante de prêt de matériel auprès de la commune de Remicourt ; </w:t>
      </w:r>
    </w:p>
    <w:p w14:paraId="6209717C" w14:textId="208862B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y a lieu de soumettre le prêt de matériel au dépôt d’une caution afin de garantir la restitution de celui-ci en bon état ; </w:t>
      </w:r>
    </w:p>
    <w:p w14:paraId="1F5388E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w:t>
      </w:r>
    </w:p>
    <w:p w14:paraId="62106214" w14:textId="2B405DAD" w:rsidR="0022723E" w:rsidRPr="005B106B" w:rsidRDefault="003C36C7">
      <w:pPr>
        <w:pStyle w:val="whP2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À l'unanimité,</w:t>
      </w:r>
      <w:r w:rsidRPr="005B106B">
        <w:rPr>
          <w:rFonts w:ascii="Times New Roman" w:hAnsi="Times New Roman" w:cs="Times New Roman"/>
          <w:b/>
          <w:bCs/>
          <w:sz w:val="22"/>
          <w:szCs w:val="22"/>
        </w:rPr>
        <w:t> </w:t>
      </w:r>
    </w:p>
    <w:p w14:paraId="01872A3B" w14:textId="5F568319" w:rsidR="0022723E" w:rsidRPr="005B106B" w:rsidRDefault="003C36C7">
      <w:pPr>
        <w:pStyle w:val="whP2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DÉCIDE :</w:t>
      </w:r>
      <w:r w:rsidRPr="005B106B">
        <w:rPr>
          <w:rFonts w:ascii="Times New Roman" w:hAnsi="Times New Roman" w:cs="Times New Roman"/>
          <w:b/>
          <w:bCs/>
          <w:sz w:val="22"/>
          <w:szCs w:val="22"/>
        </w:rPr>
        <w:t> </w:t>
      </w:r>
    </w:p>
    <w:p w14:paraId="78AC2C49" w14:textId="14F03A57"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t>Article 1</w:t>
      </w:r>
      <w:r w:rsidRPr="005B106B">
        <w:rPr>
          <w:rFonts w:ascii="Times New Roman" w:hAnsi="Times New Roman" w:cs="Times New Roman"/>
          <w:b/>
          <w:bCs/>
          <w:sz w:val="22"/>
          <w:szCs w:val="22"/>
        </w:rPr>
        <w:t> </w:t>
      </w:r>
    </w:p>
    <w:p w14:paraId="31DA334C" w14:textId="5EFAD06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Dès notification à l’emprunteur d’un prêt de matériel, celui-ci versera à l’Administration une somme à définir selon le tableau repris à l’article 2 à titre de caution destinée à couvrir les frais éventuels de réparation, pertes, dégradations du matériel prêté. </w:t>
      </w:r>
    </w:p>
    <w:p w14:paraId="540A7A4F" w14:textId="571AE7F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versement se fera exclusivement par virement sur le compte bancaire de l’Administration Communale au plus tard 5 jours avant la date de la manifestation. </w:t>
      </w:r>
    </w:p>
    <w:p w14:paraId="5EC3F46E" w14:textId="61A54A7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Lors de la délivrance du matériel prêté, le demandeur ou son délégué présentera à l’agent communal qualifié la preuve du dépôt de garantie. D’autre part, il signera le formulaire de demande et de suivi pour le prêt de matériel, et ce, pour réception du matériel prêté en bon état. </w:t>
      </w:r>
    </w:p>
    <w:p w14:paraId="6E1CA2E4" w14:textId="0C56381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Il s’engagera à payer les frais éventuels de réparation, pertes, vols, dégât des eaux ou dégradations encourus par ce matériel et ce quelle qu’en soit la cause ou la nature. En cas de perte ou de vol, il s’engage à prévenir sans délai le prêteur et à effectuer les démarches nécessaires à la prise en charge du dommage par sa compagnie d’assurance. </w:t>
      </w:r>
    </w:p>
    <w:p w14:paraId="72402EB9" w14:textId="62B2E72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signature pour réception de l’emprunteur ou de son mandataire engage solidairement la responsabilité de l’organisme dont il relève, ou qu’il représente. Le matériel prêté devra faire l’objet des meilleurs soins de la part de l’emprunteur. </w:t>
      </w:r>
    </w:p>
    <w:p w14:paraId="68AA2FA7" w14:textId="045BB03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Lors de la reprise du matériel, il sera constaté par un agent communal et par l’emprunteur, s’il a subi ou non des pertes ou des dégradations. En cas d’absence de l’emprunteur lors de la reprise du matériel, le constat sera réalisé de manière unilatérale par l'agent communal ; </w:t>
      </w:r>
    </w:p>
    <w:p w14:paraId="7B352B3B" w14:textId="4C842C6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le matériel communal est restitué en bon état, la garantie sera restituée par le Service « Finances » sans autre formalité de la part du demandeur dans un délai de 30 jours ouvrables. </w:t>
      </w:r>
    </w:p>
    <w:p w14:paraId="41488ABA" w14:textId="05A795D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dégradations, pertes ou vols du matériel, le coût de la réparation des dégâts, pertes ou vols éventuels sera retenu d’office sur la garantie. Si le montant est supérieur, la décision de facturer un éventuel montant dû sera décidé en Collège Communal. </w:t>
      </w:r>
    </w:p>
    <w:p w14:paraId="6D1EBB36" w14:textId="77777777" w:rsidR="005B106B"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Remarque : Chaque évènement fera l’objet d’une consignation propre</w:t>
      </w:r>
    </w:p>
    <w:p w14:paraId="473A5F16" w14:textId="0E6C55A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3E1D86EB" w14:textId="4F00F4C3" w:rsidR="0022723E" w:rsidRPr="005B106B" w:rsidRDefault="003C36C7">
      <w:pPr>
        <w:pStyle w:val="whP2pod"/>
        <w:rPr>
          <w:rFonts w:ascii="Times New Roman" w:hAnsi="Times New Roman" w:cs="Times New Roman"/>
          <w:b/>
          <w:bCs/>
          <w:sz w:val="22"/>
          <w:szCs w:val="22"/>
        </w:rPr>
      </w:pPr>
      <w:r w:rsidRPr="005B106B">
        <w:rPr>
          <w:rStyle w:val="whP1pod"/>
          <w:rFonts w:ascii="Times New Roman" w:hAnsi="Times New Roman" w:cs="Times New Roman"/>
          <w:b w:val="0"/>
          <w:bCs/>
          <w:sz w:val="22"/>
          <w:szCs w:val="22"/>
        </w:rPr>
        <w:lastRenderedPageBreak/>
        <w:t>Article 2</w:t>
      </w:r>
      <w:r w:rsidRPr="005B106B">
        <w:rPr>
          <w:rFonts w:ascii="Times New Roman" w:hAnsi="Times New Roman" w:cs="Times New Roman"/>
          <w:b/>
          <w:bCs/>
          <w:sz w:val="22"/>
          <w:szCs w:val="22"/>
        </w:rPr>
        <w:t> </w:t>
      </w:r>
    </w:p>
    <w:p w14:paraId="0DCDBDA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Montants des cautions :</w:t>
      </w:r>
    </w:p>
    <w:tbl>
      <w:tblPr>
        <w:tblW w:w="5001" w:type="pct"/>
        <w:tblLayout w:type="fixed"/>
        <w:tblCellMar>
          <w:left w:w="0" w:type="dxa"/>
          <w:right w:w="0" w:type="dxa"/>
        </w:tblCellMar>
        <w:tblLook w:val="04A0" w:firstRow="1" w:lastRow="0" w:firstColumn="1" w:lastColumn="0" w:noHBand="0" w:noVBand="1"/>
      </w:tblPr>
      <w:tblGrid>
        <w:gridCol w:w="4391"/>
        <w:gridCol w:w="2551"/>
        <w:gridCol w:w="3260"/>
      </w:tblGrid>
      <w:tr w:rsidR="0022723E" w:rsidRPr="00C51D72" w14:paraId="33CA7909"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28F0EF02" w14:textId="77777777" w:rsidR="0022723E" w:rsidRPr="005B106B" w:rsidRDefault="003C36C7">
            <w:pPr>
              <w:pStyle w:val="whP7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Dénomination</w:t>
            </w:r>
          </w:p>
        </w:tc>
        <w:tc>
          <w:tcPr>
            <w:tcW w:w="2551" w:type="dxa"/>
            <w:tcBorders>
              <w:top w:val="single" w:sz="2" w:space="0" w:color="000000"/>
              <w:left w:val="single" w:sz="2" w:space="0" w:color="000000"/>
              <w:bottom w:val="single" w:sz="2" w:space="0" w:color="000000"/>
              <w:right w:val="single" w:sz="2" w:space="0" w:color="000000"/>
            </w:tcBorders>
            <w:vAlign w:val="bottom"/>
          </w:tcPr>
          <w:p w14:paraId="3E0DDC92" w14:textId="77777777" w:rsidR="0022723E" w:rsidRPr="005B106B" w:rsidRDefault="003C36C7">
            <w:pPr>
              <w:pStyle w:val="whP7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Unité</w:t>
            </w:r>
          </w:p>
        </w:tc>
        <w:tc>
          <w:tcPr>
            <w:tcW w:w="3260" w:type="dxa"/>
            <w:tcBorders>
              <w:top w:val="single" w:sz="2" w:space="0" w:color="000000"/>
              <w:left w:val="single" w:sz="2" w:space="0" w:color="000000"/>
              <w:bottom w:val="single" w:sz="2" w:space="0" w:color="000000"/>
              <w:right w:val="single" w:sz="2" w:space="0" w:color="000000"/>
            </w:tcBorders>
            <w:vAlign w:val="bottom"/>
          </w:tcPr>
          <w:p w14:paraId="34D39366" w14:textId="77777777" w:rsidR="0022723E" w:rsidRPr="005B106B" w:rsidRDefault="003C36C7">
            <w:pPr>
              <w:pStyle w:val="whP7pod"/>
              <w:rPr>
                <w:rFonts w:ascii="Times New Roman" w:hAnsi="Times New Roman" w:cs="Times New Roman"/>
                <w:b/>
                <w:bCs/>
                <w:sz w:val="22"/>
                <w:szCs w:val="22"/>
              </w:rPr>
            </w:pPr>
            <w:r w:rsidRPr="005B106B">
              <w:rPr>
                <w:rStyle w:val="whP3pod"/>
                <w:rFonts w:ascii="Times New Roman" w:hAnsi="Times New Roman" w:cs="Times New Roman"/>
                <w:b w:val="0"/>
                <w:bCs/>
                <w:sz w:val="22"/>
                <w:szCs w:val="22"/>
              </w:rPr>
              <w:t>Caution (€)</w:t>
            </w:r>
          </w:p>
        </w:tc>
      </w:tr>
      <w:tr w:rsidR="0022723E" w:rsidRPr="00C51D72" w14:paraId="39ECBBB5"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799224F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Barrière Nadar + lampe + plaque</w:t>
            </w:r>
          </w:p>
        </w:tc>
        <w:tc>
          <w:tcPr>
            <w:tcW w:w="2551" w:type="dxa"/>
            <w:tcBorders>
              <w:top w:val="single" w:sz="2" w:space="0" w:color="000000"/>
              <w:left w:val="single" w:sz="2" w:space="0" w:color="000000"/>
              <w:bottom w:val="single" w:sz="2" w:space="0" w:color="000000"/>
              <w:right w:val="single" w:sz="2" w:space="0" w:color="000000"/>
            </w:tcBorders>
            <w:vAlign w:val="bottom"/>
          </w:tcPr>
          <w:p w14:paraId="76A0D14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1289577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60,00</w:t>
            </w:r>
          </w:p>
        </w:tc>
      </w:tr>
      <w:tr w:rsidR="0022723E" w:rsidRPr="00C51D72" w14:paraId="2D5C944E"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49E9DBEE"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Barrière Heras</w:t>
            </w:r>
          </w:p>
        </w:tc>
        <w:tc>
          <w:tcPr>
            <w:tcW w:w="2551" w:type="dxa"/>
            <w:tcBorders>
              <w:top w:val="single" w:sz="2" w:space="0" w:color="000000"/>
              <w:left w:val="single" w:sz="2" w:space="0" w:color="000000"/>
              <w:bottom w:val="single" w:sz="2" w:space="0" w:color="000000"/>
              <w:right w:val="single" w:sz="2" w:space="0" w:color="000000"/>
            </w:tcBorders>
            <w:vAlign w:val="bottom"/>
          </w:tcPr>
          <w:p w14:paraId="2BA716C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44207CB2"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50,00</w:t>
            </w:r>
          </w:p>
        </w:tc>
      </w:tr>
      <w:tr w:rsidR="0022723E" w:rsidRPr="00C51D72" w14:paraId="2F8E01DF"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53B22D6E"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Podium</w:t>
            </w:r>
          </w:p>
        </w:tc>
        <w:tc>
          <w:tcPr>
            <w:tcW w:w="2551" w:type="dxa"/>
            <w:tcBorders>
              <w:top w:val="single" w:sz="2" w:space="0" w:color="000000"/>
              <w:left w:val="single" w:sz="2" w:space="0" w:color="000000"/>
              <w:bottom w:val="single" w:sz="2" w:space="0" w:color="000000"/>
              <w:right w:val="single" w:sz="2" w:space="0" w:color="000000"/>
            </w:tcBorders>
            <w:vAlign w:val="bottom"/>
          </w:tcPr>
          <w:p w14:paraId="7585BE8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26EB64FD"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50,00</w:t>
            </w:r>
          </w:p>
        </w:tc>
      </w:tr>
      <w:tr w:rsidR="0022723E" w:rsidRPr="00C51D72" w14:paraId="67712A92"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75EA982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Tableau électrique + allonge</w:t>
            </w:r>
          </w:p>
        </w:tc>
        <w:tc>
          <w:tcPr>
            <w:tcW w:w="2551" w:type="dxa"/>
            <w:tcBorders>
              <w:top w:val="single" w:sz="2" w:space="0" w:color="000000"/>
              <w:left w:val="single" w:sz="2" w:space="0" w:color="000000"/>
              <w:bottom w:val="single" w:sz="2" w:space="0" w:color="000000"/>
              <w:right w:val="single" w:sz="2" w:space="0" w:color="000000"/>
            </w:tcBorders>
            <w:vAlign w:val="bottom"/>
          </w:tcPr>
          <w:p w14:paraId="43DD2A8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16B63738"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100,00</w:t>
            </w:r>
          </w:p>
        </w:tc>
      </w:tr>
      <w:tr w:rsidR="0022723E" w:rsidRPr="00C51D72" w14:paraId="3AA799DB"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7B7B0AF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Chevalet "interdiction de stationner"</w:t>
            </w:r>
          </w:p>
        </w:tc>
        <w:tc>
          <w:tcPr>
            <w:tcW w:w="2551" w:type="dxa"/>
            <w:tcBorders>
              <w:top w:val="single" w:sz="2" w:space="0" w:color="000000"/>
              <w:left w:val="single" w:sz="2" w:space="0" w:color="000000"/>
              <w:bottom w:val="single" w:sz="2" w:space="0" w:color="000000"/>
              <w:right w:val="single" w:sz="2" w:space="0" w:color="000000"/>
            </w:tcBorders>
            <w:vAlign w:val="bottom"/>
          </w:tcPr>
          <w:p w14:paraId="3A607D19"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22ABFA21"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50,00</w:t>
            </w:r>
          </w:p>
        </w:tc>
      </w:tr>
      <w:tr w:rsidR="0022723E" w:rsidRPr="00C51D72" w14:paraId="18DFDE39"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4AC6468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Panneau de signalisation</w:t>
            </w:r>
          </w:p>
        </w:tc>
        <w:tc>
          <w:tcPr>
            <w:tcW w:w="2551" w:type="dxa"/>
            <w:tcBorders>
              <w:top w:val="single" w:sz="2" w:space="0" w:color="000000"/>
              <w:left w:val="single" w:sz="2" w:space="0" w:color="000000"/>
              <w:bottom w:val="single" w:sz="2" w:space="0" w:color="000000"/>
              <w:right w:val="single" w:sz="2" w:space="0" w:color="000000"/>
            </w:tcBorders>
            <w:vAlign w:val="bottom"/>
          </w:tcPr>
          <w:p w14:paraId="338D101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45B055FE"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20,00</w:t>
            </w:r>
          </w:p>
        </w:tc>
      </w:tr>
      <w:tr w:rsidR="0022723E" w:rsidRPr="00C51D72" w14:paraId="3E185378"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5F5CE83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Col de cygne + tuyau d'arrosage</w:t>
            </w:r>
          </w:p>
        </w:tc>
        <w:tc>
          <w:tcPr>
            <w:tcW w:w="2551" w:type="dxa"/>
            <w:tcBorders>
              <w:top w:val="single" w:sz="2" w:space="0" w:color="000000"/>
              <w:left w:val="single" w:sz="2" w:space="0" w:color="000000"/>
              <w:bottom w:val="single" w:sz="2" w:space="0" w:color="000000"/>
              <w:right w:val="single" w:sz="2" w:space="0" w:color="000000"/>
            </w:tcBorders>
            <w:vAlign w:val="bottom"/>
          </w:tcPr>
          <w:p w14:paraId="0A45E9C4"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3725BEDF"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250,00</w:t>
            </w:r>
          </w:p>
        </w:tc>
      </w:tr>
      <w:tr w:rsidR="0022723E" w:rsidRPr="00C51D72" w14:paraId="4AC7E01C"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4646EFF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Tonnelle</w:t>
            </w:r>
          </w:p>
        </w:tc>
        <w:tc>
          <w:tcPr>
            <w:tcW w:w="2551" w:type="dxa"/>
            <w:tcBorders>
              <w:top w:val="single" w:sz="2" w:space="0" w:color="000000"/>
              <w:left w:val="single" w:sz="2" w:space="0" w:color="000000"/>
              <w:bottom w:val="single" w:sz="2" w:space="0" w:color="000000"/>
              <w:right w:val="single" w:sz="2" w:space="0" w:color="000000"/>
            </w:tcBorders>
            <w:vAlign w:val="bottom"/>
          </w:tcPr>
          <w:p w14:paraId="2A71D57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6C17092C"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100,00</w:t>
            </w:r>
          </w:p>
        </w:tc>
      </w:tr>
      <w:tr w:rsidR="0022723E" w:rsidRPr="00C51D72" w14:paraId="5E9D626C"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70ED673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Barbecue + grille</w:t>
            </w:r>
          </w:p>
        </w:tc>
        <w:tc>
          <w:tcPr>
            <w:tcW w:w="2551" w:type="dxa"/>
            <w:tcBorders>
              <w:top w:val="single" w:sz="2" w:space="0" w:color="000000"/>
              <w:left w:val="single" w:sz="2" w:space="0" w:color="000000"/>
              <w:bottom w:val="single" w:sz="2" w:space="0" w:color="000000"/>
              <w:right w:val="single" w:sz="2" w:space="0" w:color="000000"/>
            </w:tcBorders>
            <w:vAlign w:val="bottom"/>
          </w:tcPr>
          <w:p w14:paraId="5E9D8909"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5C9F1960"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100,00</w:t>
            </w:r>
          </w:p>
        </w:tc>
      </w:tr>
      <w:tr w:rsidR="0022723E" w:rsidRPr="00C51D72" w14:paraId="2B204163"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56D5AE5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Tableau électrique + allonge</w:t>
            </w:r>
          </w:p>
        </w:tc>
        <w:tc>
          <w:tcPr>
            <w:tcW w:w="2551" w:type="dxa"/>
            <w:tcBorders>
              <w:top w:val="single" w:sz="2" w:space="0" w:color="000000"/>
              <w:left w:val="single" w:sz="2" w:space="0" w:color="000000"/>
              <w:bottom w:val="single" w:sz="2" w:space="0" w:color="000000"/>
              <w:right w:val="single" w:sz="2" w:space="0" w:color="000000"/>
            </w:tcBorders>
            <w:vAlign w:val="bottom"/>
          </w:tcPr>
          <w:p w14:paraId="5E8D0E2C"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6465A964"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w:t>
            </w:r>
          </w:p>
        </w:tc>
      </w:tr>
      <w:tr w:rsidR="0022723E" w:rsidRPr="00C51D72" w14:paraId="7678BD6D"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0F79479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Chaise</w:t>
            </w:r>
          </w:p>
        </w:tc>
        <w:tc>
          <w:tcPr>
            <w:tcW w:w="2551" w:type="dxa"/>
            <w:tcBorders>
              <w:top w:val="single" w:sz="2" w:space="0" w:color="000000"/>
              <w:left w:val="single" w:sz="2" w:space="0" w:color="000000"/>
              <w:bottom w:val="single" w:sz="2" w:space="0" w:color="000000"/>
              <w:right w:val="single" w:sz="2" w:space="0" w:color="000000"/>
            </w:tcBorders>
            <w:vAlign w:val="bottom"/>
          </w:tcPr>
          <w:p w14:paraId="3ABB159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pc</w:t>
            </w:r>
          </w:p>
        </w:tc>
        <w:tc>
          <w:tcPr>
            <w:tcW w:w="3260" w:type="dxa"/>
            <w:tcBorders>
              <w:top w:val="single" w:sz="2" w:space="0" w:color="000000"/>
              <w:left w:val="single" w:sz="2" w:space="0" w:color="000000"/>
              <w:bottom w:val="single" w:sz="2" w:space="0" w:color="000000"/>
              <w:right w:val="single" w:sz="2" w:space="0" w:color="000000"/>
            </w:tcBorders>
            <w:vAlign w:val="bottom"/>
          </w:tcPr>
          <w:p w14:paraId="3636FC45"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10,00</w:t>
            </w:r>
          </w:p>
        </w:tc>
      </w:tr>
      <w:tr w:rsidR="0022723E" w:rsidRPr="00C51D72" w14:paraId="5A942D94" w14:textId="77777777" w:rsidTr="005B3BFB">
        <w:tc>
          <w:tcPr>
            <w:tcW w:w="4392" w:type="dxa"/>
            <w:tcBorders>
              <w:top w:val="single" w:sz="2" w:space="0" w:color="000000"/>
              <w:left w:val="single" w:sz="2" w:space="0" w:color="000000"/>
              <w:bottom w:val="single" w:sz="2" w:space="0" w:color="000000"/>
              <w:right w:val="single" w:sz="2" w:space="0" w:color="000000"/>
            </w:tcBorders>
            <w:vAlign w:val="bottom"/>
          </w:tcPr>
          <w:p w14:paraId="1108010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Extincteurs + couverture anti-feu + DEA</w:t>
            </w:r>
          </w:p>
        </w:tc>
        <w:tc>
          <w:tcPr>
            <w:tcW w:w="2551" w:type="dxa"/>
            <w:tcBorders>
              <w:top w:val="single" w:sz="2" w:space="0" w:color="000000"/>
              <w:left w:val="single" w:sz="2" w:space="0" w:color="000000"/>
              <w:bottom w:val="single" w:sz="2" w:space="0" w:color="000000"/>
              <w:right w:val="single" w:sz="2" w:space="0" w:color="000000"/>
            </w:tcBorders>
            <w:vAlign w:val="bottom"/>
          </w:tcPr>
          <w:p w14:paraId="7B1D0C5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lot</w:t>
            </w:r>
          </w:p>
        </w:tc>
        <w:tc>
          <w:tcPr>
            <w:tcW w:w="3260" w:type="dxa"/>
            <w:tcBorders>
              <w:top w:val="single" w:sz="2" w:space="0" w:color="000000"/>
              <w:left w:val="single" w:sz="2" w:space="0" w:color="000000"/>
              <w:bottom w:val="single" w:sz="2" w:space="0" w:color="000000"/>
              <w:right w:val="single" w:sz="2" w:space="0" w:color="000000"/>
            </w:tcBorders>
            <w:vAlign w:val="bottom"/>
          </w:tcPr>
          <w:p w14:paraId="246F3D6C" w14:textId="77777777" w:rsidR="0022723E" w:rsidRPr="00C51D72" w:rsidRDefault="003C36C7">
            <w:pPr>
              <w:pStyle w:val="whP24pod"/>
              <w:rPr>
                <w:rFonts w:ascii="Times New Roman" w:hAnsi="Times New Roman" w:cs="Times New Roman"/>
                <w:sz w:val="22"/>
                <w:szCs w:val="22"/>
              </w:rPr>
            </w:pPr>
            <w:r w:rsidRPr="00C51D72">
              <w:rPr>
                <w:rFonts w:ascii="Times New Roman" w:hAnsi="Times New Roman" w:cs="Times New Roman"/>
                <w:sz w:val="22"/>
                <w:szCs w:val="22"/>
              </w:rPr>
              <w:t>150,00</w:t>
            </w:r>
          </w:p>
        </w:tc>
      </w:tr>
    </w:tbl>
    <w:p w14:paraId="39A46689" w14:textId="6751C0C4" w:rsidR="0022723E" w:rsidRPr="00C51D72" w:rsidRDefault="003C36C7" w:rsidP="005B106B">
      <w:pPr>
        <w:rPr>
          <w:rFonts w:ascii="Times New Roman" w:hAnsi="Times New Roman" w:cs="Times New Roman"/>
          <w:color w:val="000000"/>
          <w:sz w:val="22"/>
          <w:szCs w:val="22"/>
        </w:rPr>
      </w:pPr>
      <w:r w:rsidRPr="00C51D72">
        <w:rPr>
          <w:rFonts w:ascii="Times New Roman" w:hAnsi="Times New Roman" w:cs="Times New Roman"/>
          <w:sz w:val="22"/>
          <w:szCs w:val="22"/>
        </w:rPr>
        <w:t>Avec un plafond maximum de caution à 500,00 €.</w:t>
      </w:r>
    </w:p>
    <w:p w14:paraId="72FE626B"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24129C1B" w14:textId="77777777" w:rsidR="0022723E" w:rsidRPr="00C51D72" w:rsidRDefault="003C36C7">
      <w:pPr>
        <w:pStyle w:val="Titre2"/>
        <w:tabs>
          <w:tab w:val="left" w:pos="1020"/>
        </w:tabs>
        <w:spacing w:before="0" w:after="113"/>
        <w:ind w:left="510" w:hanging="510"/>
        <w:jc w:val="both"/>
        <w:rPr>
          <w:rFonts w:cs="Times New Roman"/>
          <w:szCs w:val="22"/>
        </w:rPr>
      </w:pPr>
      <w:bookmarkStart w:id="16" w:name="__RefHeading___Toc1768_349934923616"/>
      <w:bookmarkEnd w:id="16"/>
      <w:r w:rsidRPr="00C51D72">
        <w:rPr>
          <w:rFonts w:cs="Times New Roman"/>
          <w:color w:val="000000"/>
          <w:szCs w:val="22"/>
          <w:u w:val="none"/>
        </w:rPr>
        <w:t>17.</w:t>
      </w:r>
      <w:r w:rsidRPr="00C51D72">
        <w:rPr>
          <w:rFonts w:cs="Times New Roman"/>
          <w:color w:val="000000"/>
          <w:szCs w:val="22"/>
          <w:u w:val="none"/>
        </w:rPr>
        <w:tab/>
      </w:r>
      <w:r w:rsidRPr="00C51D72">
        <w:rPr>
          <w:rFonts w:cs="Times New Roman"/>
          <w:caps/>
          <w:color w:val="000000"/>
          <w:szCs w:val="22"/>
        </w:rPr>
        <w:t>RÈGLEMENT REDEVANCE RELATIF AU PRÊT DE MATERIEL COMMUNAL - EXERCICES 2026 À 2027.</w:t>
      </w:r>
    </w:p>
    <w:p w14:paraId="78FB8DC0"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106DF40C" w14:textId="2DB7C65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173 ; </w:t>
      </w:r>
    </w:p>
    <w:p w14:paraId="38F115D1" w14:textId="7E419CD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 </w:t>
      </w:r>
    </w:p>
    <w:p w14:paraId="6303C829" w14:textId="362C14F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072640A6" w14:textId="542D2E9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L1124-40 (CDLD) ; </w:t>
      </w:r>
    </w:p>
    <w:p w14:paraId="25EE5133" w14:textId="6461D93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redevances communales ; </w:t>
      </w:r>
    </w:p>
    <w:p w14:paraId="247BEEB6" w14:textId="18D6AB7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20BF2812" w14:textId="7E7D76B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écoles, le CPAS, ... sont exonérés du paiement de la redevance et des frais de transport ; </w:t>
      </w:r>
    </w:p>
    <w:p w14:paraId="68BDF1BC" w14:textId="2E40D71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L1124-40 §1,3° et 4° du CDLD ; </w:t>
      </w:r>
    </w:p>
    <w:p w14:paraId="4CEDEEE4" w14:textId="77777777" w:rsidR="00122EE8"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en date du 03 novembre 2025 et joint en annexe ;</w:t>
      </w:r>
    </w:p>
    <w:p w14:paraId="581A49CE" w14:textId="5EF2924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w:t>
      </w:r>
    </w:p>
    <w:p w14:paraId="06F45894" w14:textId="36AC3215" w:rsidR="0022723E" w:rsidRPr="00C51D72" w:rsidRDefault="00122EE8">
      <w:pPr>
        <w:pStyle w:val="whP2pod"/>
        <w:rPr>
          <w:rFonts w:ascii="Times New Roman" w:hAnsi="Times New Roman" w:cs="Times New Roman"/>
          <w:sz w:val="22"/>
          <w:szCs w:val="22"/>
        </w:rPr>
      </w:pPr>
      <w:r>
        <w:rPr>
          <w:rFonts w:ascii="Times New Roman" w:hAnsi="Times New Roman" w:cs="Times New Roman"/>
          <w:sz w:val="22"/>
          <w:szCs w:val="22"/>
        </w:rPr>
        <w:t>A</w:t>
      </w:r>
      <w:r w:rsidR="003C36C7" w:rsidRPr="00C51D72">
        <w:rPr>
          <w:rFonts w:ascii="Times New Roman" w:hAnsi="Times New Roman" w:cs="Times New Roman"/>
          <w:sz w:val="22"/>
          <w:szCs w:val="22"/>
        </w:rPr>
        <w:t>près en avoir délibéré,</w:t>
      </w:r>
    </w:p>
    <w:p w14:paraId="6C76A6E1" w14:textId="2D1C244D" w:rsidR="0022723E" w:rsidRPr="00122EE8" w:rsidRDefault="003C36C7">
      <w:pPr>
        <w:pStyle w:val="whP2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À l'unanimité</w:t>
      </w:r>
      <w:r w:rsidRPr="00122EE8">
        <w:rPr>
          <w:rFonts w:ascii="Times New Roman" w:hAnsi="Times New Roman" w:cs="Times New Roman"/>
          <w:b/>
          <w:bCs/>
          <w:sz w:val="22"/>
          <w:szCs w:val="22"/>
        </w:rPr>
        <w:t> ; </w:t>
      </w:r>
    </w:p>
    <w:p w14:paraId="04211649" w14:textId="2BA96049" w:rsidR="0022723E" w:rsidRPr="00122EE8" w:rsidRDefault="003C36C7">
      <w:pPr>
        <w:pStyle w:val="whP2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ARRÊTE</w:t>
      </w:r>
      <w:r w:rsidRPr="00122EE8">
        <w:rPr>
          <w:rFonts w:ascii="Times New Roman" w:hAnsi="Times New Roman" w:cs="Times New Roman"/>
          <w:b/>
          <w:bCs/>
          <w:sz w:val="22"/>
          <w:szCs w:val="22"/>
        </w:rPr>
        <w:t xml:space="preserve"> : </w:t>
      </w:r>
    </w:p>
    <w:p w14:paraId="0460B28F"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Fonts w:ascii="Times New Roman" w:hAnsi="Times New Roman" w:cs="Times New Roman"/>
          <w:sz w:val="22"/>
          <w:szCs w:val="22"/>
        </w:rPr>
        <w:t>. – Il est établi, pour les exercices 2026 et 2027 inclus, une redevance communale sur le prêt et le placement de matériel de sécurité et de signalisation.</w:t>
      </w:r>
    </w:p>
    <w:p w14:paraId="28576AED" w14:textId="1BDFA0D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placement, il faut entendre la fourniture du matériel utile ou nécessaire au déroulement, soit d’un événement ponctuel concernant un particulier (fête familiale, déménagement, mise en place d’un container, d’un échafaudage, …), soit d’une activité ou manifestation publique concernant un groupement ou une association comme repris à l’article 2. </w:t>
      </w:r>
    </w:p>
    <w:p w14:paraId="74A0156D" w14:textId="6D2A4D84"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2</w:t>
      </w:r>
      <w:r w:rsidRPr="00C51D72">
        <w:rPr>
          <w:rFonts w:ascii="Times New Roman" w:hAnsi="Times New Roman" w:cs="Times New Roman"/>
          <w:sz w:val="22"/>
          <w:szCs w:val="22"/>
        </w:rPr>
        <w:t>. – La redevance est fixée comme suit : </w:t>
      </w:r>
    </w:p>
    <w:tbl>
      <w:tblPr>
        <w:tblW w:w="5000" w:type="pct"/>
        <w:tblLayout w:type="fixed"/>
        <w:tblCellMar>
          <w:left w:w="0" w:type="dxa"/>
          <w:right w:w="0" w:type="dxa"/>
        </w:tblCellMar>
        <w:tblLook w:val="04A0" w:firstRow="1" w:lastRow="0" w:firstColumn="1" w:lastColumn="0" w:noHBand="0" w:noVBand="1"/>
      </w:tblPr>
      <w:tblGrid>
        <w:gridCol w:w="5781"/>
        <w:gridCol w:w="4419"/>
      </w:tblGrid>
      <w:tr w:rsidR="0022723E" w:rsidRPr="00C51D72" w14:paraId="2AE65034" w14:textId="77777777">
        <w:tc>
          <w:tcPr>
            <w:tcW w:w="5784" w:type="dxa"/>
            <w:tcBorders>
              <w:top w:val="single" w:sz="2" w:space="0" w:color="000000"/>
              <w:left w:val="single" w:sz="2" w:space="0" w:color="000000"/>
              <w:bottom w:val="single" w:sz="2" w:space="0" w:color="000000"/>
              <w:right w:val="single" w:sz="2" w:space="0" w:color="000000"/>
            </w:tcBorders>
            <w:vAlign w:val="center"/>
          </w:tcPr>
          <w:p w14:paraId="3C62F467" w14:textId="77777777" w:rsidR="0022723E" w:rsidRPr="00122EE8" w:rsidRDefault="003C36C7">
            <w:pPr>
              <w:pStyle w:val="whP9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Dénomination</w:t>
            </w:r>
          </w:p>
        </w:tc>
        <w:tc>
          <w:tcPr>
            <w:tcW w:w="4422" w:type="dxa"/>
            <w:tcBorders>
              <w:top w:val="single" w:sz="2" w:space="0" w:color="000000"/>
              <w:left w:val="single" w:sz="2" w:space="0" w:color="000000"/>
              <w:bottom w:val="single" w:sz="2" w:space="0" w:color="000000"/>
              <w:right w:val="single" w:sz="2" w:space="0" w:color="000000"/>
            </w:tcBorders>
            <w:vAlign w:val="center"/>
          </w:tcPr>
          <w:p w14:paraId="3B46EC5C" w14:textId="77777777" w:rsidR="0022723E" w:rsidRPr="00122EE8" w:rsidRDefault="003C36C7">
            <w:pPr>
              <w:pStyle w:val="whP9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Location (par semaine)</w:t>
            </w:r>
          </w:p>
        </w:tc>
      </w:tr>
      <w:tr w:rsidR="0022723E" w:rsidRPr="00C51D72" w14:paraId="38677727" w14:textId="77777777">
        <w:tc>
          <w:tcPr>
            <w:tcW w:w="5784" w:type="dxa"/>
            <w:tcBorders>
              <w:top w:val="single" w:sz="2" w:space="0" w:color="000000"/>
              <w:left w:val="single" w:sz="2" w:space="0" w:color="000000"/>
              <w:bottom w:val="single" w:sz="2" w:space="0" w:color="000000"/>
              <w:right w:val="single" w:sz="2" w:space="0" w:color="000000"/>
            </w:tcBorders>
            <w:vAlign w:val="center"/>
          </w:tcPr>
          <w:p w14:paraId="609F9901"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Barrière Nadar + lampe + plaque</w:t>
            </w:r>
          </w:p>
        </w:tc>
        <w:tc>
          <w:tcPr>
            <w:tcW w:w="4422" w:type="dxa"/>
            <w:tcBorders>
              <w:top w:val="single" w:sz="2" w:space="0" w:color="000000"/>
              <w:left w:val="single" w:sz="2" w:space="0" w:color="000000"/>
              <w:bottom w:val="single" w:sz="2" w:space="0" w:color="000000"/>
              <w:right w:val="single" w:sz="2" w:space="0" w:color="000000"/>
            </w:tcBorders>
            <w:vAlign w:val="center"/>
          </w:tcPr>
          <w:p w14:paraId="65BDAB74"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10,00 €/pièce</w:t>
            </w:r>
          </w:p>
        </w:tc>
      </w:tr>
      <w:tr w:rsidR="0022723E" w:rsidRPr="00C51D72" w14:paraId="483CE6D1" w14:textId="77777777">
        <w:tc>
          <w:tcPr>
            <w:tcW w:w="5784" w:type="dxa"/>
            <w:tcBorders>
              <w:top w:val="single" w:sz="2" w:space="0" w:color="000000"/>
              <w:left w:val="single" w:sz="2" w:space="0" w:color="000000"/>
              <w:bottom w:val="single" w:sz="2" w:space="0" w:color="000000"/>
              <w:right w:val="single" w:sz="2" w:space="0" w:color="000000"/>
            </w:tcBorders>
            <w:vAlign w:val="center"/>
          </w:tcPr>
          <w:p w14:paraId="7452F03A"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Barrière Heras</w:t>
            </w:r>
          </w:p>
        </w:tc>
        <w:tc>
          <w:tcPr>
            <w:tcW w:w="4422" w:type="dxa"/>
            <w:tcBorders>
              <w:top w:val="single" w:sz="2" w:space="0" w:color="000000"/>
              <w:left w:val="single" w:sz="2" w:space="0" w:color="000000"/>
              <w:bottom w:val="single" w:sz="2" w:space="0" w:color="000000"/>
              <w:right w:val="single" w:sz="2" w:space="0" w:color="000000"/>
            </w:tcBorders>
            <w:vAlign w:val="center"/>
          </w:tcPr>
          <w:p w14:paraId="2CD6D1D7"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5,00 €/pièce</w:t>
            </w:r>
          </w:p>
        </w:tc>
      </w:tr>
      <w:tr w:rsidR="0022723E" w:rsidRPr="00C51D72" w14:paraId="3A046509" w14:textId="77777777">
        <w:tc>
          <w:tcPr>
            <w:tcW w:w="5784" w:type="dxa"/>
            <w:tcBorders>
              <w:top w:val="single" w:sz="2" w:space="0" w:color="000000"/>
              <w:left w:val="single" w:sz="2" w:space="0" w:color="000000"/>
              <w:bottom w:val="single" w:sz="2" w:space="0" w:color="000000"/>
              <w:right w:val="single" w:sz="2" w:space="0" w:color="000000"/>
            </w:tcBorders>
            <w:vAlign w:val="center"/>
          </w:tcPr>
          <w:p w14:paraId="636FC53A"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Podium</w:t>
            </w:r>
          </w:p>
        </w:tc>
        <w:tc>
          <w:tcPr>
            <w:tcW w:w="4422" w:type="dxa"/>
            <w:tcBorders>
              <w:top w:val="single" w:sz="2" w:space="0" w:color="000000"/>
              <w:left w:val="single" w:sz="2" w:space="0" w:color="000000"/>
              <w:bottom w:val="single" w:sz="2" w:space="0" w:color="000000"/>
              <w:right w:val="single" w:sz="2" w:space="0" w:color="000000"/>
            </w:tcBorders>
            <w:vAlign w:val="center"/>
          </w:tcPr>
          <w:p w14:paraId="51EE3216"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20,00 €/pièce</w:t>
            </w:r>
          </w:p>
        </w:tc>
      </w:tr>
      <w:tr w:rsidR="0022723E" w:rsidRPr="00C51D72" w14:paraId="448CDC25" w14:textId="77777777">
        <w:tc>
          <w:tcPr>
            <w:tcW w:w="5784" w:type="dxa"/>
            <w:tcBorders>
              <w:top w:val="single" w:sz="2" w:space="0" w:color="000000"/>
              <w:left w:val="single" w:sz="2" w:space="0" w:color="000000"/>
              <w:bottom w:val="single" w:sz="2" w:space="0" w:color="000000"/>
              <w:right w:val="single" w:sz="2" w:space="0" w:color="000000"/>
            </w:tcBorders>
            <w:vAlign w:val="center"/>
          </w:tcPr>
          <w:p w14:paraId="55A4EB73"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Tableau électrique + allonge</w:t>
            </w:r>
          </w:p>
        </w:tc>
        <w:tc>
          <w:tcPr>
            <w:tcW w:w="4422" w:type="dxa"/>
            <w:tcBorders>
              <w:top w:val="single" w:sz="2" w:space="0" w:color="000000"/>
              <w:left w:val="single" w:sz="2" w:space="0" w:color="000000"/>
              <w:bottom w:val="single" w:sz="2" w:space="0" w:color="000000"/>
              <w:right w:val="single" w:sz="2" w:space="0" w:color="000000"/>
            </w:tcBorders>
            <w:vAlign w:val="center"/>
          </w:tcPr>
          <w:p w14:paraId="32E98B2C"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30,00 €/pièce</w:t>
            </w:r>
          </w:p>
        </w:tc>
      </w:tr>
      <w:tr w:rsidR="0022723E" w:rsidRPr="00C51D72" w14:paraId="1CB54FD6"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6AE64404"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Chevalet "interdiction de stationner"</w:t>
            </w:r>
          </w:p>
        </w:tc>
        <w:tc>
          <w:tcPr>
            <w:tcW w:w="4422" w:type="dxa"/>
            <w:tcBorders>
              <w:top w:val="single" w:sz="2" w:space="0" w:color="000000"/>
              <w:left w:val="single" w:sz="2" w:space="0" w:color="000000"/>
              <w:bottom w:val="single" w:sz="2" w:space="0" w:color="000000"/>
              <w:right w:val="single" w:sz="2" w:space="0" w:color="000000"/>
            </w:tcBorders>
            <w:vAlign w:val="bottom"/>
          </w:tcPr>
          <w:p w14:paraId="1ECC3FB9"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5,00 €/pièce</w:t>
            </w:r>
          </w:p>
        </w:tc>
      </w:tr>
      <w:tr w:rsidR="0022723E" w:rsidRPr="00C51D72" w14:paraId="73CE227F"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72C47DFC"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Panneaux de signalisation</w:t>
            </w:r>
          </w:p>
        </w:tc>
        <w:tc>
          <w:tcPr>
            <w:tcW w:w="4422" w:type="dxa"/>
            <w:tcBorders>
              <w:top w:val="single" w:sz="2" w:space="0" w:color="000000"/>
              <w:left w:val="single" w:sz="2" w:space="0" w:color="000000"/>
              <w:bottom w:val="single" w:sz="2" w:space="0" w:color="000000"/>
              <w:right w:val="single" w:sz="2" w:space="0" w:color="000000"/>
            </w:tcBorders>
            <w:vAlign w:val="bottom"/>
          </w:tcPr>
          <w:p w14:paraId="7722240E"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5,00 €/pièce</w:t>
            </w:r>
          </w:p>
        </w:tc>
      </w:tr>
      <w:tr w:rsidR="0022723E" w:rsidRPr="00C51D72" w14:paraId="0BF01A9D"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460E5441"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Col de cygne + tuyau d'arrosage</w:t>
            </w:r>
          </w:p>
        </w:tc>
        <w:tc>
          <w:tcPr>
            <w:tcW w:w="4422" w:type="dxa"/>
            <w:tcBorders>
              <w:top w:val="single" w:sz="2" w:space="0" w:color="000000"/>
              <w:left w:val="single" w:sz="2" w:space="0" w:color="000000"/>
              <w:bottom w:val="single" w:sz="2" w:space="0" w:color="000000"/>
              <w:right w:val="single" w:sz="2" w:space="0" w:color="000000"/>
            </w:tcBorders>
            <w:vAlign w:val="bottom"/>
          </w:tcPr>
          <w:p w14:paraId="2EC30DAB"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Forfait 20,00 €</w:t>
            </w:r>
          </w:p>
        </w:tc>
      </w:tr>
      <w:tr w:rsidR="0022723E" w:rsidRPr="00C51D72" w14:paraId="128E9882"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1539A313"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Tonnelle</w:t>
            </w:r>
          </w:p>
        </w:tc>
        <w:tc>
          <w:tcPr>
            <w:tcW w:w="4422" w:type="dxa"/>
            <w:tcBorders>
              <w:top w:val="single" w:sz="2" w:space="0" w:color="000000"/>
              <w:left w:val="single" w:sz="2" w:space="0" w:color="000000"/>
              <w:bottom w:val="single" w:sz="2" w:space="0" w:color="000000"/>
              <w:right w:val="single" w:sz="2" w:space="0" w:color="000000"/>
            </w:tcBorders>
            <w:vAlign w:val="bottom"/>
          </w:tcPr>
          <w:p w14:paraId="5F31BF8E"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30,00 €/pièce</w:t>
            </w:r>
          </w:p>
        </w:tc>
      </w:tr>
      <w:tr w:rsidR="0022723E" w:rsidRPr="00C51D72" w14:paraId="4025F012"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037D789D"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Barbecue + grille</w:t>
            </w:r>
          </w:p>
        </w:tc>
        <w:tc>
          <w:tcPr>
            <w:tcW w:w="4422" w:type="dxa"/>
            <w:tcBorders>
              <w:top w:val="single" w:sz="2" w:space="0" w:color="000000"/>
              <w:left w:val="single" w:sz="2" w:space="0" w:color="000000"/>
              <w:bottom w:val="single" w:sz="2" w:space="0" w:color="000000"/>
              <w:right w:val="single" w:sz="2" w:space="0" w:color="000000"/>
            </w:tcBorders>
            <w:vAlign w:val="bottom"/>
          </w:tcPr>
          <w:p w14:paraId="7F88DA26"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10,00 €/pièce</w:t>
            </w:r>
          </w:p>
        </w:tc>
      </w:tr>
      <w:tr w:rsidR="0022723E" w:rsidRPr="00C51D72" w14:paraId="49B0B049"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0A77BD95"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Table</w:t>
            </w:r>
          </w:p>
        </w:tc>
        <w:tc>
          <w:tcPr>
            <w:tcW w:w="4422" w:type="dxa"/>
            <w:tcBorders>
              <w:top w:val="single" w:sz="2" w:space="0" w:color="000000"/>
              <w:left w:val="single" w:sz="2" w:space="0" w:color="000000"/>
              <w:bottom w:val="single" w:sz="2" w:space="0" w:color="000000"/>
              <w:right w:val="single" w:sz="2" w:space="0" w:color="000000"/>
            </w:tcBorders>
            <w:vAlign w:val="bottom"/>
          </w:tcPr>
          <w:p w14:paraId="2EB0A4D8"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5,00 €/pièce</w:t>
            </w:r>
          </w:p>
        </w:tc>
      </w:tr>
      <w:tr w:rsidR="0022723E" w:rsidRPr="00C51D72" w14:paraId="2DDEC54F"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1A67B4BE"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lastRenderedPageBreak/>
              <w:t>Chaise</w:t>
            </w:r>
          </w:p>
        </w:tc>
        <w:tc>
          <w:tcPr>
            <w:tcW w:w="4422" w:type="dxa"/>
            <w:tcBorders>
              <w:top w:val="single" w:sz="2" w:space="0" w:color="000000"/>
              <w:left w:val="single" w:sz="2" w:space="0" w:color="000000"/>
              <w:bottom w:val="single" w:sz="2" w:space="0" w:color="000000"/>
              <w:right w:val="single" w:sz="2" w:space="0" w:color="000000"/>
            </w:tcBorders>
            <w:vAlign w:val="bottom"/>
          </w:tcPr>
          <w:p w14:paraId="178D96CC"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2,00 €/pièce</w:t>
            </w:r>
          </w:p>
        </w:tc>
      </w:tr>
      <w:tr w:rsidR="0022723E" w:rsidRPr="00C51D72" w14:paraId="4CD17231" w14:textId="77777777">
        <w:tc>
          <w:tcPr>
            <w:tcW w:w="5784" w:type="dxa"/>
            <w:tcBorders>
              <w:top w:val="single" w:sz="2" w:space="0" w:color="000000"/>
              <w:left w:val="single" w:sz="2" w:space="0" w:color="000000"/>
              <w:bottom w:val="single" w:sz="2" w:space="0" w:color="000000"/>
              <w:right w:val="single" w:sz="2" w:space="0" w:color="000000"/>
            </w:tcBorders>
            <w:vAlign w:val="bottom"/>
          </w:tcPr>
          <w:p w14:paraId="56444030"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Extincteurs + couverture anti-feu</w:t>
            </w:r>
          </w:p>
        </w:tc>
        <w:tc>
          <w:tcPr>
            <w:tcW w:w="4422" w:type="dxa"/>
            <w:tcBorders>
              <w:top w:val="single" w:sz="2" w:space="0" w:color="000000"/>
              <w:left w:val="single" w:sz="2" w:space="0" w:color="000000"/>
              <w:bottom w:val="single" w:sz="2" w:space="0" w:color="000000"/>
              <w:right w:val="single" w:sz="2" w:space="0" w:color="000000"/>
            </w:tcBorders>
            <w:vAlign w:val="bottom"/>
          </w:tcPr>
          <w:p w14:paraId="135F5F23"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GRATUITE</w:t>
            </w:r>
          </w:p>
        </w:tc>
      </w:tr>
    </w:tbl>
    <w:p w14:paraId="735D31B8" w14:textId="77777777" w:rsidR="0022723E" w:rsidRPr="00C51D72" w:rsidRDefault="003C36C7">
      <w:pPr>
        <w:rPr>
          <w:rFonts w:ascii="Times New Roman" w:hAnsi="Times New Roman" w:cs="Times New Roman"/>
          <w:sz w:val="22"/>
          <w:szCs w:val="22"/>
        </w:rPr>
      </w:pPr>
      <w:r w:rsidRPr="00C51D72">
        <w:rPr>
          <w:rFonts w:ascii="Times New Roman" w:hAnsi="Times New Roman" w:cs="Times New Roman"/>
          <w:sz w:val="22"/>
          <w:szCs w:val="22"/>
        </w:rPr>
        <w:t>Forfait transport :  -   25,00 € pour la livraison de moins de 10 pièces</w:t>
      </w:r>
    </w:p>
    <w:p w14:paraId="6AFA0BF1" w14:textId="359BA5CC" w:rsidR="0022723E" w:rsidRPr="00C51D72" w:rsidRDefault="003C36C7" w:rsidP="00122EE8">
      <w:pPr>
        <w:rPr>
          <w:rFonts w:ascii="Times New Roman" w:hAnsi="Times New Roman" w:cs="Times New Roman"/>
          <w:sz w:val="22"/>
          <w:szCs w:val="22"/>
        </w:rPr>
      </w:pPr>
      <w:r w:rsidRPr="00C51D72">
        <w:rPr>
          <w:rFonts w:ascii="Times New Roman" w:hAnsi="Times New Roman" w:cs="Times New Roman"/>
          <w:sz w:val="22"/>
          <w:szCs w:val="22"/>
        </w:rPr>
        <w:t>                              -   50,00 € au-delà de 10 pièces </w:t>
      </w:r>
    </w:p>
    <w:p w14:paraId="15A8FB1D"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w:t>
      </w:r>
      <w:r w:rsidRPr="00C51D72">
        <w:rPr>
          <w:rFonts w:ascii="Times New Roman" w:hAnsi="Times New Roman" w:cs="Times New Roman"/>
          <w:sz w:val="22"/>
          <w:szCs w:val="22"/>
        </w:rPr>
        <w:t>. – Sont exonérés du paiement de la redevance et des frais de transport :</w:t>
      </w:r>
    </w:p>
    <w:p w14:paraId="0EB64401" w14:textId="77777777" w:rsidR="0022723E" w:rsidRPr="00C51D72" w:rsidRDefault="003C36C7">
      <w:pPr>
        <w:pStyle w:val="whP30pod"/>
        <w:rPr>
          <w:rFonts w:ascii="Times New Roman" w:hAnsi="Times New Roman" w:cs="Times New Roman"/>
          <w:sz w:val="22"/>
          <w:szCs w:val="22"/>
        </w:rPr>
      </w:pPr>
      <w:r w:rsidRPr="00C51D72">
        <w:rPr>
          <w:rFonts w:ascii="Times New Roman" w:hAnsi="Times New Roman" w:cs="Times New Roman"/>
          <w:sz w:val="22"/>
          <w:szCs w:val="22"/>
        </w:rPr>
        <w:t>- les écoles communales ;</w:t>
      </w:r>
    </w:p>
    <w:p w14:paraId="015BA43F" w14:textId="77777777" w:rsidR="0022723E" w:rsidRPr="00C51D72" w:rsidRDefault="003C36C7">
      <w:pPr>
        <w:pStyle w:val="whP30pod"/>
        <w:rPr>
          <w:rFonts w:ascii="Times New Roman" w:hAnsi="Times New Roman" w:cs="Times New Roman"/>
          <w:sz w:val="22"/>
          <w:szCs w:val="22"/>
        </w:rPr>
      </w:pPr>
      <w:r w:rsidRPr="00C51D72">
        <w:rPr>
          <w:rFonts w:ascii="Times New Roman" w:hAnsi="Times New Roman" w:cs="Times New Roman"/>
          <w:sz w:val="22"/>
          <w:szCs w:val="22"/>
        </w:rPr>
        <w:t>- le CPAS de Remicourt ainsi que tout organisme de droit public qui ne poursuit aucun but de lucre ;</w:t>
      </w:r>
    </w:p>
    <w:p w14:paraId="33B8BC1C" w14:textId="77777777" w:rsidR="0022723E" w:rsidRPr="00C51D72" w:rsidRDefault="003C36C7">
      <w:pPr>
        <w:pStyle w:val="whP30pod"/>
        <w:rPr>
          <w:rFonts w:ascii="Times New Roman" w:hAnsi="Times New Roman" w:cs="Times New Roman"/>
          <w:sz w:val="22"/>
          <w:szCs w:val="22"/>
        </w:rPr>
      </w:pPr>
      <w:r w:rsidRPr="00C51D72">
        <w:rPr>
          <w:rFonts w:ascii="Times New Roman" w:hAnsi="Times New Roman" w:cs="Times New Roman"/>
          <w:sz w:val="22"/>
          <w:szCs w:val="22"/>
        </w:rPr>
        <w:t>- les comités locaux (ASBL, association de fait) et les Administrations communales ;</w:t>
      </w:r>
    </w:p>
    <w:p w14:paraId="3A1DB0EE" w14:textId="2F344FB0" w:rsidR="0022723E" w:rsidRPr="00C51D72" w:rsidRDefault="003C36C7">
      <w:pPr>
        <w:pStyle w:val="whP30pod"/>
        <w:rPr>
          <w:rFonts w:ascii="Times New Roman" w:hAnsi="Times New Roman" w:cs="Times New Roman"/>
          <w:sz w:val="22"/>
          <w:szCs w:val="22"/>
        </w:rPr>
      </w:pPr>
      <w:r w:rsidRPr="00C51D72">
        <w:rPr>
          <w:rFonts w:ascii="Times New Roman" w:hAnsi="Times New Roman" w:cs="Times New Roman"/>
          <w:sz w:val="22"/>
          <w:szCs w:val="22"/>
        </w:rPr>
        <w:t>- le Centre culturel de Remicourt. </w:t>
      </w:r>
    </w:p>
    <w:p w14:paraId="09143C3B" w14:textId="04E1DED8"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 La redevance est payable préalablement à la mise à disposition du matériel par les services communaux.  </w:t>
      </w:r>
    </w:p>
    <w:p w14:paraId="68574C7E"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5</w:t>
      </w:r>
      <w:r w:rsidRPr="00C51D72">
        <w:rPr>
          <w:rFonts w:ascii="Times New Roman" w:hAnsi="Times New Roman" w:cs="Times New Roman"/>
          <w:sz w:val="22"/>
          <w:szCs w:val="22"/>
        </w:rPr>
        <w:t>. –</w:t>
      </w:r>
    </w:p>
    <w:p w14:paraId="781E6C4A"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défaut de paiement de la redevance dans le délai prescrit, dans le cadre du recouvrement amiable, un rappel par envoi simple sera envoyé au redevable. Ce rappel est gratuit.</w:t>
      </w:r>
    </w:p>
    <w:p w14:paraId="422D5003"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l'issue de ce rappel, en cas de non-paiement dans un délai de 14 jours calendrier qui prend cours le troisième jour ouvrable qui suit celui où le rappel a été envoyé, conformément à l'article L 1124-40 du Code de la Démocratie Locale et de la Décentralisation, le débiteur sera mis en demeure par courrier recommandé. Les frais administratifs inhérents à cet envoi seront mis en charge du redevable et s'élèveront à 15 €. Ce montant sera ajouté au principal sur le document de rappel.</w:t>
      </w:r>
    </w:p>
    <w:p w14:paraId="5F636A1D"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défaut de paiement, pour autant que la créance soit certaine, liquide et exigible, le Directeur financier fait signifier par exploit d’huissier une contrainte visée et rendue exécutoire par le Collège communal. Cette signification interrompt la prescription. Un recours contre cette contrainte peut être introduit dans le mois de signification par requête ou citation. Les frais administratifs inhérents à ces rappels sont recouvrés par la même contrainte.</w:t>
      </w:r>
    </w:p>
    <w:p w14:paraId="626F067F" w14:textId="682EB804" w:rsidR="0022723E" w:rsidRPr="00C51D72" w:rsidRDefault="003C36C7" w:rsidP="00122EE8">
      <w:pPr>
        <w:pStyle w:val="whP29pod"/>
        <w:rPr>
          <w:rFonts w:ascii="Times New Roman" w:hAnsi="Times New Roman" w:cs="Times New Roman"/>
          <w:sz w:val="22"/>
          <w:szCs w:val="22"/>
        </w:rPr>
      </w:pPr>
      <w:r w:rsidRPr="00C51D72">
        <w:rPr>
          <w:rFonts w:ascii="Times New Roman" w:hAnsi="Times New Roman" w:cs="Times New Roman"/>
          <w:sz w:val="22"/>
          <w:szCs w:val="22"/>
        </w:rPr>
        <w:t>En cas d'inapplicabilité de l'article L1124-40 du Code de la Démocratie Locale et de la Décentralisation, le recouvrement s'effectue devant les juridictions compétentes. </w:t>
      </w:r>
    </w:p>
    <w:p w14:paraId="58591FEF"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6 -</w:t>
      </w:r>
      <w:r w:rsidRPr="00C51D72">
        <w:rPr>
          <w:rFonts w:ascii="Times New Roman" w:hAnsi="Times New Roman" w:cs="Times New Roman"/>
          <w:sz w:val="22"/>
          <w:szCs w:val="22"/>
        </w:rPr>
        <w:t xml:space="preserve"> Le traitement de données à caractère personnel nécessaire à la mise en œuvre du présent règlement se fera suivant les règles suivantes :</w:t>
      </w:r>
    </w:p>
    <w:p w14:paraId="6E2AFFF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02A9C4E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redevance ;</w:t>
      </w:r>
    </w:p>
    <w:p w14:paraId="45F296D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0690E12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7F19ED4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5BEA2EC8" w14:textId="6356707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3588E37E" w14:textId="06250DC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7</w:t>
      </w:r>
      <w:r w:rsidRPr="00C51D72">
        <w:rPr>
          <w:rFonts w:ascii="Times New Roman" w:hAnsi="Times New Roman" w:cs="Times New Roman"/>
          <w:sz w:val="22"/>
          <w:szCs w:val="22"/>
        </w:rPr>
        <w:t xml:space="preserve"> – La présente délibération sera transmise au Gouvernement Wallon conformément aux articles L3131-1 et suivants dans le cadre de la tutelle spéciale d’approbation. </w:t>
      </w:r>
    </w:p>
    <w:p w14:paraId="7FC4E795" w14:textId="285BB0A4" w:rsidR="0022723E" w:rsidRPr="00C51D72" w:rsidRDefault="003C36C7" w:rsidP="00122EE8">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t>Article 8</w:t>
      </w:r>
      <w:r w:rsidRPr="00C51D72">
        <w:rPr>
          <w:rFonts w:ascii="Times New Roman" w:hAnsi="Times New Roman" w:cs="Times New Roman"/>
          <w:sz w:val="22"/>
          <w:szCs w:val="22"/>
        </w:rPr>
        <w:t>. – La présente délibération entrera en vigueur après accomplissement des formalités de publication conformément aux articles L1133-1 et L1133-2 du Code de la Démocratie Locale et de la Décentralisation.</w:t>
      </w:r>
    </w:p>
    <w:p w14:paraId="3FF530CC"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C5DCAB7" w14:textId="77777777" w:rsidR="0022723E" w:rsidRPr="00C51D72" w:rsidRDefault="003C36C7">
      <w:pPr>
        <w:pStyle w:val="Titre2"/>
        <w:tabs>
          <w:tab w:val="left" w:pos="1020"/>
        </w:tabs>
        <w:spacing w:before="0" w:after="113"/>
        <w:ind w:left="510" w:hanging="510"/>
        <w:jc w:val="both"/>
        <w:rPr>
          <w:rFonts w:cs="Times New Roman"/>
          <w:szCs w:val="22"/>
        </w:rPr>
      </w:pPr>
      <w:bookmarkStart w:id="17" w:name="__RefHeading___Toc1768_349934923617"/>
      <w:bookmarkEnd w:id="17"/>
      <w:r w:rsidRPr="00C51D72">
        <w:rPr>
          <w:rFonts w:cs="Times New Roman"/>
          <w:color w:val="000000"/>
          <w:szCs w:val="22"/>
          <w:u w:val="none"/>
        </w:rPr>
        <w:t>18.</w:t>
      </w:r>
      <w:r w:rsidRPr="00C51D72">
        <w:rPr>
          <w:rFonts w:cs="Times New Roman"/>
          <w:color w:val="000000"/>
          <w:szCs w:val="22"/>
          <w:u w:val="none"/>
        </w:rPr>
        <w:tab/>
      </w:r>
      <w:r w:rsidRPr="00C51D72">
        <w:rPr>
          <w:rFonts w:cs="Times New Roman"/>
          <w:caps/>
          <w:color w:val="000000"/>
          <w:szCs w:val="22"/>
        </w:rPr>
        <w:t>RÈGLEMENT ÉTABLISSANT UNE REDEVANCE COMMUNALE SUR LE TRAITEMENT DES DEMANDES D’AUTORISATION D’ACTIVITÉS EN APPLICATION DU DÉCRET DU 11 MARS 1999 RELATIF AU PERMIS D’ENVIRONNEMENT - EXERCICES 2026 À 2031.</w:t>
      </w:r>
    </w:p>
    <w:p w14:paraId="7536A8B1"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0E9150CA" w14:textId="60943AF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notamment les articles 41, 162, 173 et 190 ; </w:t>
      </w:r>
    </w:p>
    <w:p w14:paraId="42575661" w14:textId="31A65F0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 </w:t>
      </w:r>
    </w:p>
    <w:p w14:paraId="3F919044" w14:textId="56989F2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18.01.2001) et la loi du 24 juin 2000 (M.B. 23.09.2004, éd. 2) portant assentiment de la Charte européenne de l’autonomie locale, notamment l’article 9.1 de la Charte ; </w:t>
      </w:r>
    </w:p>
    <w:p w14:paraId="2E235D58" w14:textId="381F896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L3131-1, §1, 3° ; </w:t>
      </w:r>
    </w:p>
    <w:p w14:paraId="05481035" w14:textId="2CE7A25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11 mars 1999 relatif au permis d’environnement ; </w:t>
      </w:r>
    </w:p>
    <w:p w14:paraId="4D25676E" w14:textId="4D4ACC1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matière d’établissement et de recouvrement des redevances communales ; </w:t>
      </w:r>
    </w:p>
    <w:p w14:paraId="592D7AE2" w14:textId="4984D0A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et des CPAS de la Région wallonne, à l’exception des communes et des CPAS relevant des communes de la Communauté germanophone, pour l’année 2026 ; </w:t>
      </w:r>
    </w:p>
    <w:p w14:paraId="09E61F89" w14:textId="0745238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finances communales ; </w:t>
      </w:r>
    </w:p>
    <w:p w14:paraId="2F56D5C0" w14:textId="0271E1B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Revu sa délibération du 09 novembre 2023 établissant une redevance communale sur le traitement des demandes d'autorisation d'activités en application du décret du 11 mars 1999 relatif au permis d'environnement ou du décret du 05 février 2015 relatif aux implantations commerciales pour les exercices 2024 et 2025 ;  </w:t>
      </w:r>
    </w:p>
    <w:p w14:paraId="57F9F626" w14:textId="65ED0F3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qu’il convient d’adopter des tarifs correspondant aux coûts réels des prestations liées au traitement des demandes d’autorisation d’activités, et ce, dans le respect de la circulaire budgétaire et des dispositions du décret précité ; </w:t>
      </w:r>
    </w:p>
    <w:p w14:paraId="595E70DF" w14:textId="526E3DE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est équitable et de bonne gestion communale de ne pas faire supporter à l’ensemble des citoyens le coût de la procédure urbanistiques, mais de solliciter l’intervention du demandeur directement bénéficiaire de ladite procédure ; </w:t>
      </w:r>
    </w:p>
    <w:p w14:paraId="4E15136B" w14:textId="6A498DD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Commune de Remicourt de se doter des moyens financiers nécessaires à l’exercice de sa mission de service public ; </w:t>
      </w:r>
    </w:p>
    <w:p w14:paraId="47B6E8F2" w14:textId="22D4A4B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l’avis de légalité du Receveur régional a été sollicité en date du 29 octobre 2025, conformément à l’article L1124-40, §1, 3° du CDLD ; que le Receveur régional a rendu un avis favorable en date du 03 novembre 2025 ; </w:t>
      </w:r>
    </w:p>
    <w:p w14:paraId="36B1E918" w14:textId="52C0C2B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043DC94C" w14:textId="47FBFC4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w:t>
      </w:r>
    </w:p>
    <w:p w14:paraId="6CCC6490" w14:textId="290A9A18" w:rsidR="0022723E" w:rsidRPr="00122EE8" w:rsidRDefault="003C36C7" w:rsidP="00122EE8">
      <w:pPr>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À l'unanimité,</w:t>
      </w:r>
      <w:r w:rsidRPr="00122EE8">
        <w:rPr>
          <w:rFonts w:ascii="Times New Roman" w:hAnsi="Times New Roman" w:cs="Times New Roman"/>
          <w:b/>
          <w:bCs/>
          <w:sz w:val="22"/>
          <w:szCs w:val="22"/>
        </w:rPr>
        <w:t> </w:t>
      </w:r>
    </w:p>
    <w:p w14:paraId="031FCDEF" w14:textId="16C66430" w:rsidR="0022723E" w:rsidRPr="00122EE8" w:rsidRDefault="003C36C7">
      <w:pPr>
        <w:pStyle w:val="whP2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 xml:space="preserve">ARRÊTE : </w:t>
      </w:r>
      <w:r w:rsidRPr="00122EE8">
        <w:rPr>
          <w:rFonts w:ascii="Times New Roman" w:hAnsi="Times New Roman" w:cs="Times New Roman"/>
          <w:b/>
          <w:bCs/>
          <w:sz w:val="22"/>
          <w:szCs w:val="22"/>
        </w:rPr>
        <w:t> </w:t>
      </w:r>
    </w:p>
    <w:p w14:paraId="101D0A99" w14:textId="53FE3444"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Fonts w:ascii="Times New Roman" w:hAnsi="Times New Roman" w:cs="Times New Roman"/>
          <w:sz w:val="22"/>
          <w:szCs w:val="22"/>
        </w:rPr>
        <w:t xml:space="preserve"> Il est établi au profit de la Commune, pour les exercices 2026 à 2031 une redevance communale sur le traitement des demandes d’autorisation d’activités en application du décret du 11 mars 1999 relatif au permis d’environnement.</w:t>
      </w:r>
      <w:r w:rsidRPr="00C51D72">
        <w:rPr>
          <w:rFonts w:ascii="Times New Roman" w:hAnsi="Times New Roman" w:cs="Times New Roman"/>
          <w:sz w:val="22"/>
          <w:szCs w:val="22"/>
        </w:rPr>
        <w:br/>
      </w:r>
      <w:r w:rsidRPr="00C51D72">
        <w:rPr>
          <w:rStyle w:val="whP6pod"/>
          <w:rFonts w:ascii="Times New Roman" w:hAnsi="Times New Roman" w:cs="Times New Roman"/>
          <w:sz w:val="22"/>
          <w:szCs w:val="22"/>
        </w:rPr>
        <w:t>Article 2.</w:t>
      </w:r>
      <w:r w:rsidRPr="00C51D72">
        <w:rPr>
          <w:rFonts w:ascii="Times New Roman" w:hAnsi="Times New Roman" w:cs="Times New Roman"/>
          <w:sz w:val="22"/>
          <w:szCs w:val="22"/>
        </w:rPr>
        <w:t xml:space="preserve"> La redevance est fixée comme suit : </w:t>
      </w:r>
    </w:p>
    <w:p w14:paraId="452C577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tbl>
      <w:tblPr>
        <w:tblW w:w="5000" w:type="pct"/>
        <w:tblLayout w:type="fixed"/>
        <w:tblCellMar>
          <w:left w:w="0" w:type="dxa"/>
          <w:right w:w="0" w:type="dxa"/>
        </w:tblCellMar>
        <w:tblLook w:val="04A0" w:firstRow="1" w:lastRow="0" w:firstColumn="1" w:lastColumn="0" w:noHBand="0" w:noVBand="1"/>
      </w:tblPr>
      <w:tblGrid>
        <w:gridCol w:w="9080"/>
        <w:gridCol w:w="1126"/>
      </w:tblGrid>
      <w:tr w:rsidR="0022723E" w:rsidRPr="00C51D72" w14:paraId="5118C8E9" w14:textId="77777777">
        <w:tc>
          <w:tcPr>
            <w:tcW w:w="10206" w:type="dxa"/>
            <w:gridSpan w:val="2"/>
          </w:tcPr>
          <w:p w14:paraId="512344F2" w14:textId="77777777" w:rsidR="0022723E" w:rsidRPr="00C51D72" w:rsidRDefault="003C36C7">
            <w:pPr>
              <w:pStyle w:val="Tablecell"/>
              <w:rPr>
                <w:rFonts w:ascii="Times New Roman" w:hAnsi="Times New Roman" w:cs="Times New Roman"/>
                <w:sz w:val="22"/>
                <w:szCs w:val="22"/>
              </w:rPr>
            </w:pPr>
            <w:r w:rsidRPr="00C51D72">
              <w:rPr>
                <w:rStyle w:val="whP4pod"/>
                <w:rFonts w:ascii="Times New Roman" w:hAnsi="Times New Roman" w:cs="Times New Roman"/>
                <w:sz w:val="22"/>
                <w:szCs w:val="22"/>
              </w:rPr>
              <w:t>Classe 1</w:t>
            </w:r>
          </w:p>
        </w:tc>
      </w:tr>
      <w:tr w:rsidR="0022723E" w:rsidRPr="00C51D72" w14:paraId="386E2472" w14:textId="77777777">
        <w:tc>
          <w:tcPr>
            <w:tcW w:w="9080" w:type="dxa"/>
          </w:tcPr>
          <w:p w14:paraId="3EE07A0C"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Permis d’environnement</w:t>
            </w:r>
          </w:p>
        </w:tc>
        <w:tc>
          <w:tcPr>
            <w:tcW w:w="1126" w:type="dxa"/>
          </w:tcPr>
          <w:p w14:paraId="44B6EB50"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1000,00€</w:t>
            </w:r>
          </w:p>
        </w:tc>
      </w:tr>
      <w:tr w:rsidR="0022723E" w:rsidRPr="00C51D72" w14:paraId="4B60C1DE" w14:textId="77777777">
        <w:tc>
          <w:tcPr>
            <w:tcW w:w="9080" w:type="dxa"/>
          </w:tcPr>
          <w:p w14:paraId="7478EEB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Permis unique</w:t>
            </w:r>
          </w:p>
        </w:tc>
        <w:tc>
          <w:tcPr>
            <w:tcW w:w="1126" w:type="dxa"/>
          </w:tcPr>
          <w:p w14:paraId="5E6B09B8"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5000,00€</w:t>
            </w:r>
          </w:p>
        </w:tc>
      </w:tr>
      <w:tr w:rsidR="0022723E" w:rsidRPr="00C51D72" w14:paraId="498217D1" w14:textId="77777777">
        <w:tc>
          <w:tcPr>
            <w:tcW w:w="10206" w:type="dxa"/>
            <w:gridSpan w:val="2"/>
          </w:tcPr>
          <w:p w14:paraId="59FA3C4F"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 </w:t>
            </w:r>
          </w:p>
          <w:p w14:paraId="6FE89AA8" w14:textId="77777777" w:rsidR="0022723E" w:rsidRPr="00C51D72" w:rsidRDefault="003C36C7">
            <w:pPr>
              <w:pStyle w:val="Tablecell"/>
              <w:rPr>
                <w:rFonts w:ascii="Times New Roman" w:hAnsi="Times New Roman" w:cs="Times New Roman"/>
                <w:sz w:val="22"/>
                <w:szCs w:val="22"/>
              </w:rPr>
            </w:pPr>
            <w:r w:rsidRPr="00C51D72">
              <w:rPr>
                <w:rStyle w:val="whP4pod"/>
                <w:rFonts w:ascii="Times New Roman" w:hAnsi="Times New Roman" w:cs="Times New Roman"/>
                <w:sz w:val="22"/>
                <w:szCs w:val="22"/>
              </w:rPr>
              <w:t>Classe 2</w:t>
            </w:r>
          </w:p>
        </w:tc>
      </w:tr>
      <w:tr w:rsidR="0022723E" w:rsidRPr="00C51D72" w14:paraId="360FB3B3" w14:textId="77777777">
        <w:tc>
          <w:tcPr>
            <w:tcW w:w="9080" w:type="dxa"/>
          </w:tcPr>
          <w:p w14:paraId="1ED87F4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Permis d’environnement</w:t>
            </w:r>
          </w:p>
        </w:tc>
        <w:tc>
          <w:tcPr>
            <w:tcW w:w="1126" w:type="dxa"/>
          </w:tcPr>
          <w:p w14:paraId="72976BCE"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150,00€</w:t>
            </w:r>
          </w:p>
        </w:tc>
      </w:tr>
      <w:tr w:rsidR="0022723E" w:rsidRPr="00C51D72" w14:paraId="7254EFB4" w14:textId="77777777">
        <w:tc>
          <w:tcPr>
            <w:tcW w:w="9080" w:type="dxa"/>
          </w:tcPr>
          <w:p w14:paraId="136DA93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Permis unique</w:t>
            </w:r>
          </w:p>
        </w:tc>
        <w:tc>
          <w:tcPr>
            <w:tcW w:w="1126" w:type="dxa"/>
          </w:tcPr>
          <w:p w14:paraId="7101EFAF"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200,00€</w:t>
            </w:r>
          </w:p>
        </w:tc>
      </w:tr>
      <w:tr w:rsidR="0022723E" w:rsidRPr="00C51D72" w14:paraId="4E76AE93" w14:textId="77777777">
        <w:tc>
          <w:tcPr>
            <w:tcW w:w="10206" w:type="dxa"/>
            <w:gridSpan w:val="2"/>
          </w:tcPr>
          <w:p w14:paraId="3F7CB238"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 </w:t>
            </w:r>
          </w:p>
          <w:p w14:paraId="2DCDE27D" w14:textId="77777777" w:rsidR="0022723E" w:rsidRPr="00C51D72" w:rsidRDefault="003C36C7">
            <w:pPr>
              <w:pStyle w:val="Tablecell"/>
              <w:rPr>
                <w:rFonts w:ascii="Times New Roman" w:hAnsi="Times New Roman" w:cs="Times New Roman"/>
                <w:sz w:val="22"/>
                <w:szCs w:val="22"/>
              </w:rPr>
            </w:pPr>
            <w:r w:rsidRPr="00C51D72">
              <w:rPr>
                <w:rStyle w:val="whP4pod"/>
                <w:rFonts w:ascii="Times New Roman" w:hAnsi="Times New Roman" w:cs="Times New Roman"/>
                <w:sz w:val="22"/>
                <w:szCs w:val="22"/>
              </w:rPr>
              <w:t>Classe 3</w:t>
            </w:r>
          </w:p>
        </w:tc>
      </w:tr>
      <w:tr w:rsidR="0022723E" w:rsidRPr="00C51D72" w14:paraId="6B79D606" w14:textId="77777777">
        <w:tc>
          <w:tcPr>
            <w:tcW w:w="9080" w:type="dxa"/>
          </w:tcPr>
          <w:p w14:paraId="3A141D1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Déclaration environnementale</w:t>
            </w:r>
          </w:p>
        </w:tc>
        <w:tc>
          <w:tcPr>
            <w:tcW w:w="1126" w:type="dxa"/>
          </w:tcPr>
          <w:p w14:paraId="30ACAD1C" w14:textId="77777777" w:rsidR="0022723E" w:rsidRPr="00C51D72" w:rsidRDefault="003C36C7">
            <w:pPr>
              <w:pStyle w:val="whP10pod"/>
              <w:rPr>
                <w:rFonts w:ascii="Times New Roman" w:hAnsi="Times New Roman" w:cs="Times New Roman"/>
                <w:sz w:val="22"/>
                <w:szCs w:val="22"/>
              </w:rPr>
            </w:pPr>
            <w:r w:rsidRPr="00C51D72">
              <w:rPr>
                <w:rFonts w:ascii="Times New Roman" w:hAnsi="Times New Roman" w:cs="Times New Roman"/>
                <w:sz w:val="22"/>
                <w:szCs w:val="22"/>
              </w:rPr>
              <w:t>25,00€</w:t>
            </w:r>
          </w:p>
        </w:tc>
      </w:tr>
    </w:tbl>
    <w:p w14:paraId="3C148FA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7C5923D8" w14:textId="5A2802B2"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w:t>
      </w:r>
      <w:r w:rsidRPr="00C51D72">
        <w:rPr>
          <w:rFonts w:ascii="Times New Roman" w:hAnsi="Times New Roman" w:cs="Times New Roman"/>
          <w:sz w:val="22"/>
          <w:szCs w:val="22"/>
        </w:rPr>
        <w:t xml:space="preserve"> La redevance est due par toute personne physique ou morale qui introduit la demande ou par son mandataire, et ce quelle que soit l’issue du dossier (octroi ou refus). </w:t>
      </w:r>
    </w:p>
    <w:p w14:paraId="432747B7" w14:textId="4BFC5961"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xml:space="preserve"> La redevance est payable dans les 15 jours de la réception de l'accusé de réception transmis par le Fonctionnaire technique. Elle est versée sur le compte bancaire de la Commune.  </w:t>
      </w:r>
    </w:p>
    <w:p w14:paraId="26887225" w14:textId="2AFDBB9A"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5.</w:t>
      </w:r>
      <w:r w:rsidRPr="00C51D72">
        <w:rPr>
          <w:rFonts w:ascii="Times New Roman" w:hAnsi="Times New Roman" w:cs="Times New Roman"/>
          <w:sz w:val="22"/>
          <w:szCs w:val="22"/>
        </w:rPr>
        <w:t> À défaut de paiement à l’échéance, dans le cadre du recouvrement amiable, un rappel gratuit, par pli simple sera envoyé au redevable. En cas de non-paiement de ce rappel dans les 14 jours calendrier qui prend cours le 3ème jour ouvrable qui suit celui où ledit rappel est envoyé, conformément aux dispositions de l’article L1124-40, §1, 1° du Code de la Démocratie Locale et de la Décentralisation, le débiteur sera mis en demeure par courrier recommandé. Les frais administratifs inhérents à cet envoi seront mis à charge du redevable et s’élèveront à 15,00€. Ce montant sera ajouté au principal sur le document de rappel. Dans les cas non prévus par cette disposition, le recouvrement sera poursuivi devant les juridictions civiles compétentes. </w:t>
      </w:r>
    </w:p>
    <w:p w14:paraId="5B8FC34A"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6.</w:t>
      </w:r>
      <w:r w:rsidRPr="00C51D72">
        <w:rPr>
          <w:rFonts w:ascii="Times New Roman" w:hAnsi="Times New Roman" w:cs="Times New Roman"/>
          <w:sz w:val="22"/>
          <w:szCs w:val="22"/>
        </w:rPr>
        <w:t> Le traitement de données à caractère personnel nécessaire à la mise en œuvre du présent règlement se fera suivant les règles suivantes :</w:t>
      </w:r>
    </w:p>
    <w:p w14:paraId="3543E385" w14:textId="77777777" w:rsidR="0022723E" w:rsidRPr="00C51D72" w:rsidRDefault="003C36C7">
      <w:pPr>
        <w:pStyle w:val="whP14pod"/>
        <w:numPr>
          <w:ilvl w:val="0"/>
          <w:numId w:val="3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Responsable de traitement : la commune de Remicourt ;</w:t>
      </w:r>
    </w:p>
    <w:p w14:paraId="087C45E7" w14:textId="77777777" w:rsidR="0022723E" w:rsidRPr="00C51D72" w:rsidRDefault="003C36C7">
      <w:pPr>
        <w:pStyle w:val="whP14pod"/>
        <w:numPr>
          <w:ilvl w:val="0"/>
          <w:numId w:val="3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Finalité du traitement : établissement et recouvrement de la taxe redevance ;</w:t>
      </w:r>
    </w:p>
    <w:p w14:paraId="22926791" w14:textId="77777777" w:rsidR="0022723E" w:rsidRPr="00C51D72" w:rsidRDefault="003C36C7">
      <w:pPr>
        <w:pStyle w:val="whP14pod"/>
        <w:numPr>
          <w:ilvl w:val="0"/>
          <w:numId w:val="3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Catégorie de données : données d’identification ;</w:t>
      </w:r>
    </w:p>
    <w:p w14:paraId="659BE570" w14:textId="77777777" w:rsidR="0022723E" w:rsidRPr="00C51D72" w:rsidRDefault="003C36C7">
      <w:pPr>
        <w:pStyle w:val="whP14pod"/>
        <w:numPr>
          <w:ilvl w:val="0"/>
          <w:numId w:val="3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Durée de conservation : la commune s’engage à conserver les données pour un délai de 30 ans et à les supprimer par la suite ou à les transférer aux archives de l’Etat selon les instructions reçues de cette administration ;</w:t>
      </w:r>
    </w:p>
    <w:p w14:paraId="28BDE9A2" w14:textId="77777777" w:rsidR="0022723E" w:rsidRPr="00C51D72" w:rsidRDefault="003C36C7">
      <w:pPr>
        <w:pStyle w:val="whP14pod"/>
        <w:numPr>
          <w:ilvl w:val="0"/>
          <w:numId w:val="32"/>
        </w:numPr>
        <w:tabs>
          <w:tab w:val="left" w:pos="922"/>
        </w:tabs>
        <w:rPr>
          <w:rFonts w:ascii="Times New Roman" w:hAnsi="Times New Roman" w:cs="Times New Roman"/>
          <w:sz w:val="22"/>
          <w:szCs w:val="22"/>
        </w:rPr>
      </w:pPr>
      <w:r w:rsidRPr="00C51D72">
        <w:rPr>
          <w:rFonts w:ascii="Times New Roman" w:hAnsi="Times New Roman" w:cs="Times New Roman"/>
          <w:sz w:val="22"/>
          <w:szCs w:val="22"/>
        </w:rPr>
        <w:t>Méthode de collecte : recensement par la commune ;</w:t>
      </w:r>
    </w:p>
    <w:p w14:paraId="7FE7529D" w14:textId="09069119" w:rsidR="0022723E" w:rsidRPr="005B3BFB" w:rsidRDefault="003C36C7" w:rsidP="005B3BFB">
      <w:pPr>
        <w:pStyle w:val="whP14pod"/>
        <w:numPr>
          <w:ilvl w:val="0"/>
          <w:numId w:val="32"/>
        </w:numPr>
        <w:tabs>
          <w:tab w:val="left" w:pos="922"/>
        </w:tabs>
        <w:rPr>
          <w:rFonts w:ascii="Times New Roman" w:hAnsi="Times New Roman" w:cs="Times New Roman"/>
          <w:sz w:val="22"/>
          <w:szCs w:val="22"/>
        </w:rPr>
      </w:pPr>
      <w:r w:rsidRPr="005B3BFB">
        <w:rPr>
          <w:rFonts w:ascii="Times New Roman" w:hAnsi="Times New Roman" w:cs="Times New Roman"/>
          <w:sz w:val="22"/>
          <w:szCs w:val="22"/>
        </w:rPr>
        <w:t>Communication des données : les données ne seront communiquées qu’à des tiers autorisés par ou en vertu de la loi, notamment en application de l’article 327 du CIR92, ou à des sous-traitants de la Commune. </w:t>
      </w:r>
    </w:p>
    <w:p w14:paraId="43217ED7" w14:textId="6312C2DB"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7.</w:t>
      </w:r>
      <w:r w:rsidRPr="00C51D72">
        <w:rPr>
          <w:rFonts w:ascii="Times New Roman" w:hAnsi="Times New Roman" w:cs="Times New Roman"/>
          <w:sz w:val="22"/>
          <w:szCs w:val="22"/>
        </w:rPr>
        <w:t xml:space="preserve"> Le présent règlement entrera en vigueur après accomplissement des formalités de publication, conformément aux articles L1133-1 et L1133-2 du Code de la Démocratie Locale et de la Décentralisation. </w:t>
      </w:r>
    </w:p>
    <w:p w14:paraId="2AA5C513" w14:textId="28702D86" w:rsidR="0022723E" w:rsidRPr="00C51D72" w:rsidRDefault="003C36C7" w:rsidP="00122EE8">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lastRenderedPageBreak/>
        <w:t>Article 8.</w:t>
      </w:r>
      <w:r w:rsidRPr="00C51D72">
        <w:rPr>
          <w:rFonts w:ascii="Times New Roman" w:hAnsi="Times New Roman" w:cs="Times New Roman"/>
          <w:sz w:val="22"/>
          <w:szCs w:val="22"/>
        </w:rPr>
        <w:t xml:space="preserve"> La présente délibération sera transmise simultanément au Gouvernement wallon, conformément aux articles L3131-1 et suivants dans le cadre de la tutelle spéciale d’approbation.</w:t>
      </w:r>
    </w:p>
    <w:p w14:paraId="348639ED"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1C6912A4" w14:textId="77777777" w:rsidR="0022723E" w:rsidRPr="00C51D72" w:rsidRDefault="003C36C7">
      <w:pPr>
        <w:pStyle w:val="Titre2"/>
        <w:tabs>
          <w:tab w:val="left" w:pos="1020"/>
        </w:tabs>
        <w:spacing w:before="0" w:after="113"/>
        <w:ind w:left="510" w:hanging="510"/>
        <w:jc w:val="both"/>
        <w:rPr>
          <w:rFonts w:cs="Times New Roman"/>
          <w:szCs w:val="22"/>
        </w:rPr>
      </w:pPr>
      <w:bookmarkStart w:id="18" w:name="__RefHeading___Toc1768_349934923618"/>
      <w:bookmarkEnd w:id="18"/>
      <w:r w:rsidRPr="00C51D72">
        <w:rPr>
          <w:rFonts w:cs="Times New Roman"/>
          <w:color w:val="000000"/>
          <w:szCs w:val="22"/>
          <w:u w:val="none"/>
        </w:rPr>
        <w:t>19.</w:t>
      </w:r>
      <w:r w:rsidRPr="00C51D72">
        <w:rPr>
          <w:rFonts w:cs="Times New Roman"/>
          <w:color w:val="000000"/>
          <w:szCs w:val="22"/>
          <w:u w:val="none"/>
        </w:rPr>
        <w:tab/>
      </w:r>
      <w:r w:rsidRPr="00C51D72">
        <w:rPr>
          <w:rFonts w:cs="Times New Roman"/>
          <w:caps/>
          <w:color w:val="000000"/>
          <w:szCs w:val="22"/>
        </w:rPr>
        <w:t xml:space="preserve">TAXE SUR LES DEMANDES DE CHANGEMENT DE NOM – EXERCICES 2026 à 2031. </w:t>
      </w:r>
    </w:p>
    <w:p w14:paraId="05FCD361"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49A4D97A" w14:textId="728F2D5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§4 ;    </w:t>
      </w:r>
    </w:p>
    <w:p w14:paraId="0211B192" w14:textId="79CC581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57281767" w14:textId="2F5D898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loi du 7 janvier 2024 modifiant l’ancien code civil et le Code des droits d’enregistrement, d’hypothèque et de greffe en vue d’assouplir la procédure de changement de nom ; </w:t>
      </w:r>
    </w:p>
    <w:p w14:paraId="59013A21" w14:textId="3272126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L3321-1 à 12 ; </w:t>
      </w:r>
    </w:p>
    <w:p w14:paraId="251D9939" w14:textId="5D37E34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l’ancien Code civil ; </w:t>
      </w:r>
    </w:p>
    <w:p w14:paraId="41BDDAE1" w14:textId="44165AE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taxes communales ; </w:t>
      </w:r>
    </w:p>
    <w:p w14:paraId="52DAD355" w14:textId="28A945E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4AAA325B" w14:textId="00EB726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cette loi transfère la compétence en matière de changement de nom aux officiers de l'état civil et en règle les conditions et la procédure ; </w:t>
      </w:r>
    </w:p>
    <w:p w14:paraId="7939FAC6" w14:textId="6391B2B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toute personne majeure ou mineure émancipée peut, une seule fois introduire une demande de changement de nom ; que ce changement de nom se fait uniquement au profit du nom du père, de la mère ou d’une combinaison de leurs deux noms ; que dans tous les autres cas, la demande restera soumise au SPF Justice ; </w:t>
      </w:r>
    </w:p>
    <w:p w14:paraId="4D82DA84" w14:textId="6780E3C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procédure de demande de changement de nom impacte non seulement le nom du demandeur, mais aussi celui de ses descendants dans la mesure où le changement de nom s’impose aux enfants mineurs non émancipés de moins de 12 ans tandis que pour les autres descendants de 12 ans et plus, le consentement doit être donné au moment de la demande et que c’est à cette condition que l’officier de l’état civil en établit immédiatement un acte de changement de nom et l’associe aux actes de l’état civil qui les concernent ; </w:t>
      </w:r>
    </w:p>
    <w:p w14:paraId="6CEDE9A5" w14:textId="56AF266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loi ne confère pas explicitement, à l’instar de la procédure de changement de prénom, une habilitation légale au sens de l’article 173 de la Constitution qui prévoit que « Hors les provinces, les polders et wateringues et les cas formellement exceptés par la loi, le décret et les règles visées à l'article 134, aucune rétribution ne peut être exigée des citoyens qu'à titre d'impôt au profit de l'État, de la communauté, de la région, de l'agglomération, de la fédération de communes ou de la commune ; </w:t>
      </w:r>
    </w:p>
    <w:p w14:paraId="12C6D08A" w14:textId="18621B5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cependant que la loi du 7 janvier 2024 susvisée ne contient aucune disposition qui interdit expressément l’établissement d’une taxe ; </w:t>
      </w:r>
    </w:p>
    <w:p w14:paraId="23F71572" w14:textId="06BF6FC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démarches administratives dans le cadre de la constitution de dossier et de modification au registre national pour chaque personne concernée par le changement de nom entraînent pour la commune des dépenses administratives qu'il s'indique de couvrir par la perception d'une taxe pour les demandes de changement de nom ; </w:t>
      </w:r>
    </w:p>
    <w:p w14:paraId="34451516" w14:textId="792F442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certaines demandes de changement de noms sont sollicitées lorsqu'un nom est ridicule ou odieux (en lui-même ou par association avec le prénom) ; </w:t>
      </w:r>
    </w:p>
    <w:p w14:paraId="09698086" w14:textId="2557AFB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commune établit la présente taxe afin de se procurer les moyens financiers nécessaires à l'exercice de ses missions ; </w:t>
      </w:r>
    </w:p>
    <w:p w14:paraId="19F8841B" w14:textId="2FFBF37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L1124-40,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3°et 4° du Code de la démocratie locale et de la décentralisation ; </w:t>
      </w:r>
    </w:p>
    <w:p w14:paraId="455D11BA" w14:textId="6FB6FD3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en date du 03 novembre 2025 et joint en annexe ; </w:t>
      </w:r>
    </w:p>
    <w:p w14:paraId="5F7016A4" w14:textId="5A1DAFB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la commune doit se doter des moyens nécessaires afin d’assurer l’exercice de sa mission de service public ; </w:t>
      </w:r>
    </w:p>
    <w:p w14:paraId="231C4BC3" w14:textId="3FEA5C3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2177D479" w14:textId="1CDF887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w:t>
      </w:r>
    </w:p>
    <w:p w14:paraId="74517FF1" w14:textId="4681F2D9" w:rsidR="0022723E" w:rsidRPr="00122EE8" w:rsidRDefault="003C36C7">
      <w:pPr>
        <w:pStyle w:val="whP2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À l'unanimité,</w:t>
      </w:r>
      <w:r w:rsidRPr="00122EE8">
        <w:rPr>
          <w:rFonts w:ascii="Times New Roman" w:hAnsi="Times New Roman" w:cs="Times New Roman"/>
          <w:b/>
          <w:bCs/>
          <w:sz w:val="22"/>
          <w:szCs w:val="22"/>
        </w:rPr>
        <w:t> </w:t>
      </w:r>
    </w:p>
    <w:p w14:paraId="0301210A" w14:textId="024E5796" w:rsidR="0022723E" w:rsidRPr="00122EE8" w:rsidRDefault="003C36C7">
      <w:pPr>
        <w:pStyle w:val="whP2pod"/>
        <w:rPr>
          <w:rFonts w:ascii="Times New Roman" w:hAnsi="Times New Roman" w:cs="Times New Roman"/>
          <w:b/>
          <w:bCs/>
          <w:sz w:val="22"/>
          <w:szCs w:val="22"/>
        </w:rPr>
      </w:pPr>
      <w:r w:rsidRPr="00122EE8">
        <w:rPr>
          <w:rStyle w:val="whP3pod"/>
          <w:rFonts w:ascii="Times New Roman" w:hAnsi="Times New Roman" w:cs="Times New Roman"/>
          <w:b w:val="0"/>
          <w:bCs/>
          <w:sz w:val="22"/>
          <w:szCs w:val="22"/>
        </w:rPr>
        <w:t xml:space="preserve">DÉCIDE : </w:t>
      </w:r>
      <w:r w:rsidRPr="00122EE8">
        <w:rPr>
          <w:rFonts w:ascii="Times New Roman" w:hAnsi="Times New Roman" w:cs="Times New Roman"/>
          <w:b/>
          <w:bCs/>
          <w:sz w:val="22"/>
          <w:szCs w:val="22"/>
        </w:rPr>
        <w:t> </w:t>
      </w:r>
    </w:p>
    <w:p w14:paraId="5D4A59FB" w14:textId="1282C66C" w:rsidR="0022723E" w:rsidRPr="00C51D72" w:rsidRDefault="003C36C7">
      <w:pPr>
        <w:pStyle w:val="whP2pod"/>
        <w:rPr>
          <w:rFonts w:ascii="Times New Roman" w:hAnsi="Times New Roman" w:cs="Times New Roman"/>
          <w:sz w:val="22"/>
          <w:szCs w:val="22"/>
        </w:rPr>
      </w:pPr>
      <w:r w:rsidRPr="00122EE8">
        <w:rPr>
          <w:rStyle w:val="whP21pod"/>
          <w:rFonts w:ascii="Times New Roman" w:hAnsi="Times New Roman" w:cs="Times New Roman"/>
          <w:b w:val="0"/>
          <w:bCs/>
          <w:sz w:val="22"/>
          <w:szCs w:val="22"/>
        </w:rPr>
        <w:t>Article 1</w:t>
      </w:r>
      <w:r w:rsidRPr="00122EE8">
        <w:rPr>
          <w:rStyle w:val="whP19pod"/>
          <w:rFonts w:ascii="Times New Roman" w:hAnsi="Times New Roman" w:cs="Times New Roman"/>
          <w:b/>
          <w:bCs/>
          <w:sz w:val="22"/>
          <w:szCs w:val="22"/>
        </w:rPr>
        <w:t>er</w:t>
      </w:r>
      <w:r w:rsidRPr="00C51D72">
        <w:rPr>
          <w:rStyle w:val="whP21pod"/>
          <w:rFonts w:ascii="Times New Roman" w:hAnsi="Times New Roman" w:cs="Times New Roman"/>
          <w:sz w:val="22"/>
          <w:szCs w:val="22"/>
        </w:rPr>
        <w:t xml:space="preserve">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Il est établi, pour les exercices 2026 à 2031 inclus, une taxe communale sur les demandes de changement de nom.  </w:t>
      </w:r>
    </w:p>
    <w:p w14:paraId="086ACFFF" w14:textId="77777777" w:rsidR="0022723E" w:rsidRPr="00C51D72" w:rsidRDefault="003C36C7">
      <w:pPr>
        <w:pStyle w:val="whP2pod"/>
        <w:rPr>
          <w:rFonts w:ascii="Times New Roman" w:hAnsi="Times New Roman" w:cs="Times New Roman"/>
          <w:sz w:val="22"/>
          <w:szCs w:val="22"/>
        </w:rPr>
      </w:pPr>
      <w:r w:rsidRPr="00122EE8">
        <w:rPr>
          <w:rStyle w:val="whP20pod"/>
          <w:rFonts w:ascii="Times New Roman" w:hAnsi="Times New Roman" w:cs="Times New Roman"/>
          <w:b w:val="0"/>
          <w:bCs/>
          <w:sz w:val="22"/>
          <w:szCs w:val="22"/>
        </w:rPr>
        <w:t>Article 2</w:t>
      </w:r>
      <w:r w:rsidRPr="00122EE8">
        <w:rPr>
          <w:rStyle w:val="whP5pod"/>
          <w:rFonts w:ascii="Times New Roman" w:hAnsi="Times New Roman" w:cs="Times New Roman"/>
          <w:b w:val="0"/>
          <w:bCs/>
          <w:sz w:val="22"/>
          <w:szCs w:val="22"/>
        </w:rPr>
        <w:t xml:space="preserve"> –</w:t>
      </w:r>
      <w:r w:rsidRPr="00C51D72">
        <w:rPr>
          <w:rStyle w:val="whP6pod"/>
          <w:rFonts w:ascii="Times New Roman" w:hAnsi="Times New Roman" w:cs="Times New Roman"/>
          <w:sz w:val="22"/>
          <w:szCs w:val="22"/>
        </w:rPr>
        <w:t xml:space="preserve"> </w:t>
      </w:r>
      <w:r w:rsidRPr="00C51D72">
        <w:rPr>
          <w:rFonts w:ascii="Times New Roman" w:hAnsi="Times New Roman" w:cs="Times New Roman"/>
          <w:sz w:val="22"/>
          <w:szCs w:val="22"/>
        </w:rPr>
        <w:t>La taxe est due par la personne définie dans la loi du 07 janvier 2024 susvisée qui demande le changement de nom. </w:t>
      </w:r>
    </w:p>
    <w:p w14:paraId="755D17C9" w14:textId="3E02E82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la demande de changement de nom entraîne un changement de nom pour les descendants, la taxe ne sera due qu'une seule fois pour l'ensemble du dossier. </w:t>
      </w:r>
    </w:p>
    <w:p w14:paraId="6AA7E03A" w14:textId="10917651" w:rsidR="0022723E" w:rsidRPr="00C51D72" w:rsidRDefault="003C36C7">
      <w:pPr>
        <w:pStyle w:val="whP2pod"/>
        <w:rPr>
          <w:rFonts w:ascii="Times New Roman" w:hAnsi="Times New Roman" w:cs="Times New Roman"/>
          <w:sz w:val="22"/>
          <w:szCs w:val="22"/>
        </w:rPr>
      </w:pPr>
      <w:r w:rsidRPr="00122EE8">
        <w:rPr>
          <w:rStyle w:val="whP20pod"/>
          <w:rFonts w:ascii="Times New Roman" w:hAnsi="Times New Roman" w:cs="Times New Roman"/>
          <w:b w:val="0"/>
          <w:bCs/>
          <w:sz w:val="22"/>
          <w:szCs w:val="22"/>
        </w:rPr>
        <w:t>Article 3</w:t>
      </w:r>
      <w:r w:rsidRPr="00122EE8">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La taxe est fixée à </w:t>
      </w:r>
      <w:r w:rsidRPr="00122EE8">
        <w:rPr>
          <w:rStyle w:val="whP3pod"/>
          <w:rFonts w:ascii="Times New Roman" w:hAnsi="Times New Roman" w:cs="Times New Roman"/>
          <w:b w:val="0"/>
          <w:bCs/>
          <w:sz w:val="22"/>
          <w:szCs w:val="22"/>
        </w:rPr>
        <w:t>300,00 euros</w:t>
      </w:r>
      <w:r w:rsidRPr="00C51D72">
        <w:rPr>
          <w:rFonts w:ascii="Times New Roman" w:hAnsi="Times New Roman" w:cs="Times New Roman"/>
          <w:sz w:val="22"/>
          <w:szCs w:val="22"/>
        </w:rPr>
        <w:t> par demande. </w:t>
      </w:r>
    </w:p>
    <w:p w14:paraId="74B606E8" w14:textId="3774B9D9" w:rsidR="0022723E" w:rsidRPr="00C51D72" w:rsidRDefault="003C36C7">
      <w:pPr>
        <w:pStyle w:val="whP2pod"/>
        <w:rPr>
          <w:rFonts w:ascii="Times New Roman" w:hAnsi="Times New Roman" w:cs="Times New Roman"/>
          <w:sz w:val="22"/>
          <w:szCs w:val="22"/>
        </w:rPr>
      </w:pPr>
      <w:r w:rsidRPr="00122EE8">
        <w:rPr>
          <w:rStyle w:val="whP21pod"/>
          <w:rFonts w:ascii="Times New Roman" w:hAnsi="Times New Roman" w:cs="Times New Roman"/>
          <w:b w:val="0"/>
          <w:bCs/>
          <w:sz w:val="22"/>
          <w:szCs w:val="22"/>
        </w:rPr>
        <w:t>Article 4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Exonérations : La taxe n’est pas due pour les demandes de changement de noms si le nom est ridicule ou odieux (en lui-même ou par association avec le prénom). </w:t>
      </w:r>
    </w:p>
    <w:p w14:paraId="0F4C8F01" w14:textId="140A8B0F" w:rsidR="0022723E" w:rsidRPr="00C51D72" w:rsidRDefault="003C36C7">
      <w:pPr>
        <w:pStyle w:val="whP2pod"/>
        <w:rPr>
          <w:rFonts w:ascii="Times New Roman" w:hAnsi="Times New Roman" w:cs="Times New Roman"/>
          <w:sz w:val="22"/>
          <w:szCs w:val="22"/>
        </w:rPr>
      </w:pPr>
      <w:r w:rsidRPr="00122EE8">
        <w:rPr>
          <w:rStyle w:val="whP20pod"/>
          <w:rFonts w:ascii="Times New Roman" w:hAnsi="Times New Roman" w:cs="Times New Roman"/>
          <w:b w:val="0"/>
          <w:bCs/>
          <w:sz w:val="22"/>
          <w:szCs w:val="22"/>
        </w:rPr>
        <w:lastRenderedPageBreak/>
        <w:t>Article 5 –</w:t>
      </w:r>
      <w:r w:rsidRPr="00C51D72">
        <w:rPr>
          <w:rFonts w:ascii="Times New Roman" w:hAnsi="Times New Roman" w:cs="Times New Roman"/>
          <w:sz w:val="22"/>
          <w:szCs w:val="22"/>
        </w:rPr>
        <w:t xml:space="preserve"> La taxe est perçue au comptant au moment de la demande contre-remise d’une preuve de paiement conformément à l’article L3321-3 du Code de la démocratie locale et de la décentralisation.  </w:t>
      </w:r>
    </w:p>
    <w:p w14:paraId="12EDAC90" w14:textId="73856E07" w:rsidR="0022723E" w:rsidRPr="00C51D72" w:rsidRDefault="003C36C7">
      <w:pPr>
        <w:pStyle w:val="whP2pod"/>
        <w:rPr>
          <w:rFonts w:ascii="Times New Roman" w:hAnsi="Times New Roman" w:cs="Times New Roman"/>
          <w:sz w:val="22"/>
          <w:szCs w:val="22"/>
        </w:rPr>
      </w:pPr>
      <w:r w:rsidRPr="00122EE8">
        <w:rPr>
          <w:rStyle w:val="whP20pod"/>
          <w:rFonts w:ascii="Times New Roman" w:hAnsi="Times New Roman" w:cs="Times New Roman"/>
          <w:b w:val="0"/>
          <w:bCs/>
          <w:sz w:val="22"/>
          <w:szCs w:val="22"/>
        </w:rPr>
        <w:t xml:space="preserve">Article 6 </w:t>
      </w:r>
      <w:r w:rsidRPr="00122EE8">
        <w:rPr>
          <w:rStyle w:val="whP6pod"/>
          <w:rFonts w:ascii="Times New Roman" w:hAnsi="Times New Roman" w:cs="Times New Roman"/>
          <w:b/>
          <w:bCs/>
          <w:sz w:val="22"/>
          <w:szCs w:val="22"/>
        </w:rPr>
        <w:t>–</w:t>
      </w:r>
      <w:r w:rsidRPr="00C51D72">
        <w:rPr>
          <w:rFonts w:ascii="Times New Roman" w:hAnsi="Times New Roman" w:cs="Times New Roman"/>
          <w:sz w:val="22"/>
          <w:szCs w:val="22"/>
        </w:rPr>
        <w:t xml:space="preserve"> A défaut de payement au comptant, la taxe est enrôlée et est immédiatement exigible. </w:t>
      </w:r>
    </w:p>
    <w:p w14:paraId="4301C55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non-paiement de la taxe, conformément à l’article L3321-8bis du Code de la démocratie locale et de la décentralisation, une sommation de payer sera envoyée au contribuable.</w:t>
      </w:r>
    </w:p>
    <w:p w14:paraId="5140182E" w14:textId="60DAE97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sommation de payer se fera par courrier recommandé et les frais postaux de cet envoi seront à charge du redevable. Ces frais seront recouvrés de la même manière que la taxe à laquelle ils se rapportent. </w:t>
      </w:r>
    </w:p>
    <w:p w14:paraId="63FD175C" w14:textId="493C76CA" w:rsidR="0022723E" w:rsidRPr="00C51D72" w:rsidRDefault="003C36C7">
      <w:pPr>
        <w:pStyle w:val="whP2pod"/>
        <w:rPr>
          <w:rFonts w:ascii="Times New Roman" w:hAnsi="Times New Roman" w:cs="Times New Roman"/>
          <w:sz w:val="22"/>
          <w:szCs w:val="22"/>
        </w:rPr>
      </w:pPr>
      <w:r w:rsidRPr="00122EE8">
        <w:rPr>
          <w:rStyle w:val="whP20pod"/>
          <w:rFonts w:ascii="Times New Roman" w:hAnsi="Times New Roman" w:cs="Times New Roman"/>
          <w:b w:val="0"/>
          <w:bCs/>
          <w:sz w:val="22"/>
          <w:szCs w:val="22"/>
        </w:rPr>
        <w:t>Article 7</w:t>
      </w:r>
      <w:r w:rsidRPr="00122EE8">
        <w:rPr>
          <w:rStyle w:val="whP6pod"/>
          <w:rFonts w:ascii="Times New Roman" w:hAnsi="Times New Roman" w:cs="Times New Roman"/>
          <w:b/>
          <w:bCs/>
          <w:sz w:val="22"/>
          <w:szCs w:val="22"/>
        </w:rPr>
        <w:t xml:space="preserve"> –</w:t>
      </w:r>
      <w:r w:rsidRPr="00C51D72">
        <w:rPr>
          <w:rFonts w:ascii="Times New Roman" w:hAnsi="Times New Roman" w:cs="Times New Roman"/>
          <w:sz w:val="22"/>
          <w:szCs w:val="22"/>
        </w:rPr>
        <w:t xml:space="preserve">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7F760C0B" w14:textId="77777777" w:rsidR="0022723E" w:rsidRPr="00C51D72" w:rsidRDefault="003C36C7">
      <w:pPr>
        <w:pStyle w:val="whP2pod"/>
        <w:rPr>
          <w:rFonts w:ascii="Times New Roman" w:hAnsi="Times New Roman" w:cs="Times New Roman"/>
          <w:sz w:val="22"/>
          <w:szCs w:val="22"/>
        </w:rPr>
      </w:pPr>
      <w:r w:rsidRPr="00122EE8">
        <w:rPr>
          <w:rStyle w:val="whP21pod"/>
          <w:rFonts w:ascii="Times New Roman" w:hAnsi="Times New Roman" w:cs="Times New Roman"/>
          <w:b w:val="0"/>
          <w:bCs/>
          <w:sz w:val="22"/>
          <w:szCs w:val="22"/>
        </w:rPr>
        <w:t>Article 8 -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6EB90A37"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4BC9C283"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 ;</w:t>
      </w:r>
    </w:p>
    <w:p w14:paraId="1637F009"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7B0057F1"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Durée de conservation : la commune de Remicourt s’engage à conserver les données pour un délai de 30 ans et à les supprimer par la suite ou à les transférer aux archives de l’Etat selon les instructions reçues de cette administration</w:t>
      </w:r>
    </w:p>
    <w:p w14:paraId="573AAE1D"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commune/ville ;</w:t>
      </w:r>
    </w:p>
    <w:p w14:paraId="1F493CCF" w14:textId="2FA6126E"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5E4FB092" w14:textId="111DC0C8" w:rsidR="0022723E" w:rsidRPr="00C51D72" w:rsidRDefault="003C36C7">
      <w:pPr>
        <w:pStyle w:val="whP2pod"/>
        <w:rPr>
          <w:rFonts w:ascii="Times New Roman" w:hAnsi="Times New Roman" w:cs="Times New Roman"/>
          <w:sz w:val="22"/>
          <w:szCs w:val="22"/>
        </w:rPr>
      </w:pPr>
      <w:r w:rsidRPr="00122EE8">
        <w:rPr>
          <w:rStyle w:val="whP21pod"/>
          <w:rFonts w:ascii="Times New Roman" w:hAnsi="Times New Roman" w:cs="Times New Roman"/>
          <w:b w:val="0"/>
          <w:bCs/>
          <w:sz w:val="22"/>
          <w:szCs w:val="22"/>
        </w:rPr>
        <w:t>Article 9</w:t>
      </w:r>
      <w:r w:rsidRPr="00C51D72">
        <w:rPr>
          <w:rStyle w:val="whP21pod"/>
          <w:rFonts w:ascii="Times New Roman" w:hAnsi="Times New Roman" w:cs="Times New Roman"/>
          <w:sz w:val="22"/>
          <w:szCs w:val="22"/>
        </w:rPr>
        <w:t xml:space="preserve"> </w:t>
      </w:r>
      <w:r w:rsidRPr="00C51D72">
        <w:rPr>
          <w:rStyle w:val="whP13pod"/>
          <w:rFonts w:ascii="Times New Roman" w:hAnsi="Times New Roman" w:cs="Times New Roman"/>
          <w:sz w:val="22"/>
          <w:szCs w:val="22"/>
        </w:rPr>
        <w:t>–</w:t>
      </w:r>
      <w:r w:rsidRPr="00C51D72">
        <w:rPr>
          <w:rFonts w:ascii="Times New Roman" w:hAnsi="Times New Roman" w:cs="Times New Roman"/>
          <w:sz w:val="22"/>
          <w:szCs w:val="22"/>
        </w:rPr>
        <w:t>Le présent règlement sera transmis au Gouvernement Wallon conformément aux articles L3131-1 et suivants du Code de la démocratie locale et de la décentralisation pour exercice de la tutelle spéciale d’approbation. </w:t>
      </w:r>
    </w:p>
    <w:p w14:paraId="45C69B7E" w14:textId="79975F18" w:rsidR="0022723E" w:rsidRPr="00C51D72" w:rsidRDefault="003C36C7" w:rsidP="00122EE8">
      <w:pPr>
        <w:pStyle w:val="whP2pod"/>
        <w:rPr>
          <w:rFonts w:ascii="Times New Roman" w:hAnsi="Times New Roman" w:cs="Times New Roman"/>
          <w:color w:val="000000"/>
          <w:sz w:val="22"/>
          <w:szCs w:val="22"/>
        </w:rPr>
      </w:pPr>
      <w:r w:rsidRPr="00122EE8">
        <w:rPr>
          <w:rStyle w:val="whP21pod"/>
          <w:rFonts w:ascii="Times New Roman" w:hAnsi="Times New Roman" w:cs="Times New Roman"/>
          <w:b w:val="0"/>
          <w:bCs/>
          <w:sz w:val="22"/>
          <w:szCs w:val="22"/>
        </w:rPr>
        <w:t>Article 10</w:t>
      </w:r>
      <w:r w:rsidRPr="00C51D72">
        <w:rPr>
          <w:rStyle w:val="whP21pod"/>
          <w:rFonts w:ascii="Times New Roman" w:hAnsi="Times New Roman" w:cs="Times New Roman"/>
          <w:sz w:val="22"/>
          <w:szCs w:val="22"/>
        </w:rPr>
        <w:t xml:space="preserve">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entrera en vigueur après accomplissement des formalités de la publication faites conformément aux articles L1133-1 et 2 du Code de la démocratie locale et de la décentralisation.</w:t>
      </w:r>
    </w:p>
    <w:p w14:paraId="6F47FE79"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7FA4FA9" w14:textId="77777777" w:rsidR="0022723E" w:rsidRPr="00C51D72" w:rsidRDefault="003C36C7">
      <w:pPr>
        <w:pStyle w:val="Titre2"/>
        <w:tabs>
          <w:tab w:val="left" w:pos="1020"/>
        </w:tabs>
        <w:spacing w:before="0" w:after="113"/>
        <w:ind w:left="510" w:hanging="510"/>
        <w:jc w:val="both"/>
        <w:rPr>
          <w:rFonts w:cs="Times New Roman"/>
          <w:szCs w:val="22"/>
        </w:rPr>
      </w:pPr>
      <w:bookmarkStart w:id="19" w:name="__RefHeading___Toc1768_349934923619"/>
      <w:bookmarkEnd w:id="19"/>
      <w:r w:rsidRPr="00C51D72">
        <w:rPr>
          <w:rFonts w:cs="Times New Roman"/>
          <w:color w:val="000000"/>
          <w:szCs w:val="22"/>
          <w:u w:val="none"/>
        </w:rPr>
        <w:t>20.</w:t>
      </w:r>
      <w:r w:rsidRPr="00C51D72">
        <w:rPr>
          <w:rFonts w:cs="Times New Roman"/>
          <w:color w:val="000000"/>
          <w:szCs w:val="22"/>
          <w:u w:val="none"/>
        </w:rPr>
        <w:tab/>
      </w:r>
      <w:r w:rsidRPr="00C51D72">
        <w:rPr>
          <w:rFonts w:cs="Times New Roman"/>
          <w:caps/>
          <w:color w:val="000000"/>
          <w:szCs w:val="22"/>
        </w:rPr>
        <w:t>TAXE SUR LES IMMEUBLES BÂTIS INOCCUPÉS – EXERCICES 2026 À 2031.</w:t>
      </w:r>
    </w:p>
    <w:p w14:paraId="18CEC8DC"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1EC1DA19" w14:textId="3F280EA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41,162 et 170 § 4 ; </w:t>
      </w:r>
    </w:p>
    <w:p w14:paraId="4EEB088E" w14:textId="06BCFA7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7C197DE9" w14:textId="1AE07F0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L3321-1 à 12 ; </w:t>
      </w:r>
    </w:p>
    <w:p w14:paraId="1CFC593D" w14:textId="31759E9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27 mai 2004 instaurant une taxe sur les sites d’activité économique désaffectés ; </w:t>
      </w:r>
    </w:p>
    <w:p w14:paraId="29649D67" w14:textId="08529E9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taxes communales ; </w:t>
      </w:r>
    </w:p>
    <w:p w14:paraId="0F35E105" w14:textId="6499D69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03C29294" w14:textId="7CCB899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L1124-40 §1,3°et 4° du Code de la démocratie locale et de la décentralisation ; </w:t>
      </w:r>
    </w:p>
    <w:p w14:paraId="2D88263F" w14:textId="276990E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en date du 03 novembre 2025 et joint en annexe ; </w:t>
      </w:r>
    </w:p>
    <w:p w14:paraId="5CD004A8" w14:textId="17E82F3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la commune doit se doter des moyens nécessaires afin d’assurer l’exercice de sa mission de service public ; </w:t>
      </w:r>
    </w:p>
    <w:p w14:paraId="0F8A9C40" w14:textId="4167B67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qu'il soit démontré par les titulaires du droit réel de certaines immeubles bâtis inoccupés que l'inoccupation est indépendante de leur volonté ; </w:t>
      </w:r>
    </w:p>
    <w:p w14:paraId="2EC80909" w14:textId="42CF74C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certains immeubles bâtis inoccupés le sont pour cause de travaux en cours ne nécessitant pas d'autorisation ; </w:t>
      </w:r>
    </w:p>
    <w:p w14:paraId="2A8866F8" w14:textId="2BC0D58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certains immeubles bâtis inoccupés font l'objet de travaux d'achèvement dûment autorisés ; </w:t>
      </w:r>
    </w:p>
    <w:p w14:paraId="16C182B6" w14:textId="1FCD96C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qu’il y a lieu de tenir compte des réalités propres aux successions ; </w:t>
      </w:r>
    </w:p>
    <w:p w14:paraId="23903CFA" w14:textId="2D1F3E1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qu’il y a lieu de tenir compte de la réalité de l’utilisation de certains immeubles bâtis au sein de la commune en ce qu’ils sont scindés en plusieurs logements occupés par les membres d’une même famille ; </w:t>
      </w:r>
    </w:p>
    <w:p w14:paraId="1B019452" w14:textId="229DEFB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725FA933" w14:textId="200226E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418A630A" w14:textId="0D9A790E"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w:t>
      </w:r>
    </w:p>
    <w:p w14:paraId="104F6C5A" w14:textId="7A22D677"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DÉCIDE :</w:t>
      </w:r>
      <w:r w:rsidRPr="003410F7">
        <w:rPr>
          <w:rFonts w:ascii="Times New Roman" w:hAnsi="Times New Roman" w:cs="Times New Roman"/>
          <w:b/>
          <w:bCs/>
          <w:sz w:val="22"/>
          <w:szCs w:val="22"/>
        </w:rPr>
        <w:t> </w:t>
      </w:r>
    </w:p>
    <w:p w14:paraId="51FC8559" w14:textId="77777777" w:rsidR="0022723E" w:rsidRPr="003410F7" w:rsidRDefault="003C36C7">
      <w:pPr>
        <w:pStyle w:val="whP2pod"/>
        <w:rPr>
          <w:rFonts w:ascii="Times New Roman" w:hAnsi="Times New Roman" w:cs="Times New Roman"/>
          <w:b/>
          <w:bCs/>
          <w:sz w:val="22"/>
          <w:szCs w:val="22"/>
        </w:rPr>
      </w:pPr>
      <w:r w:rsidRPr="003410F7">
        <w:rPr>
          <w:rStyle w:val="whP20pod"/>
          <w:rFonts w:ascii="Times New Roman" w:hAnsi="Times New Roman" w:cs="Times New Roman"/>
          <w:b w:val="0"/>
          <w:bCs/>
          <w:sz w:val="22"/>
          <w:szCs w:val="22"/>
        </w:rPr>
        <w:t>Article 1</w:t>
      </w:r>
      <w:r w:rsidRPr="003410F7">
        <w:rPr>
          <w:rStyle w:val="whP19pod"/>
          <w:rFonts w:ascii="Times New Roman" w:hAnsi="Times New Roman" w:cs="Times New Roman"/>
          <w:b/>
          <w:bCs/>
          <w:sz w:val="22"/>
          <w:szCs w:val="22"/>
        </w:rPr>
        <w:t>er</w:t>
      </w:r>
      <w:r w:rsidRPr="003410F7">
        <w:rPr>
          <w:rStyle w:val="whP1pod"/>
          <w:rFonts w:ascii="Times New Roman" w:hAnsi="Times New Roman" w:cs="Times New Roman"/>
          <w:b w:val="0"/>
          <w:bCs/>
          <w:sz w:val="22"/>
          <w:szCs w:val="22"/>
        </w:rPr>
        <w:t xml:space="preserve"> –</w:t>
      </w:r>
      <w:r w:rsidRPr="003410F7">
        <w:rPr>
          <w:rStyle w:val="whP3pod"/>
          <w:rFonts w:ascii="Times New Roman" w:hAnsi="Times New Roman" w:cs="Times New Roman"/>
          <w:b w:val="0"/>
          <w:bCs/>
          <w:sz w:val="22"/>
          <w:szCs w:val="22"/>
        </w:rPr>
        <w:t xml:space="preserve"> §1. Il est établi, pour les exercices 2026 à 2031 inclus, une taxe communale annuelle sur les immeubles bâtis inoccupés.</w:t>
      </w:r>
    </w:p>
    <w:p w14:paraId="5F947A3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Sont visés les immeubles bâtis, structurellement destinés au logement ou à l'exercice d'activités économiques de nature industrielle, artisanale, agricole, horticole, commerciale, sociale, culturelle ou de services, qui sont restés inoccupés pendant une période comprise entre deux constats consécutifs distants d'une période minimale de 6 mois.</w:t>
      </w:r>
    </w:p>
    <w:p w14:paraId="5E20F2A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Ne sont pas visés les sites d'activités économiques désaffectés de plus de 1.000 m</w:t>
      </w:r>
      <w:r w:rsidRPr="00C51D72">
        <w:rPr>
          <w:rStyle w:val="whP19pod"/>
          <w:rFonts w:ascii="Times New Roman" w:hAnsi="Times New Roman" w:cs="Times New Roman"/>
          <w:sz w:val="22"/>
          <w:szCs w:val="22"/>
        </w:rPr>
        <w:t>2</w:t>
      </w:r>
      <w:r w:rsidRPr="00C51D72">
        <w:rPr>
          <w:rFonts w:ascii="Times New Roman" w:hAnsi="Times New Roman" w:cs="Times New Roman"/>
          <w:sz w:val="22"/>
          <w:szCs w:val="22"/>
        </w:rPr>
        <w:t xml:space="preserve"> visés par le décret du 27 mai 2004.</w:t>
      </w:r>
    </w:p>
    <w:p w14:paraId="310AFC9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Au sens du présent règlement, est considéré comme :</w:t>
      </w:r>
    </w:p>
    <w:p w14:paraId="0D88FE9B" w14:textId="77777777" w:rsidR="0022723E" w:rsidRPr="00C51D72" w:rsidRDefault="003C36C7">
      <w:pPr>
        <w:pStyle w:val="whP16pod"/>
        <w:numPr>
          <w:ilvl w:val="0"/>
          <w:numId w:val="34"/>
        </w:numPr>
        <w:tabs>
          <w:tab w:val="left" w:pos="922"/>
        </w:tabs>
        <w:rPr>
          <w:rFonts w:ascii="Times New Roman" w:hAnsi="Times New Roman" w:cs="Times New Roman"/>
          <w:sz w:val="22"/>
          <w:szCs w:val="22"/>
        </w:rPr>
      </w:pPr>
      <w:r w:rsidRPr="00C51D72">
        <w:rPr>
          <w:rFonts w:ascii="Times New Roman" w:hAnsi="Times New Roman" w:cs="Times New Roman"/>
          <w:sz w:val="22"/>
          <w:szCs w:val="22"/>
        </w:rPr>
        <w:t>immeuble bâti :  tout bâtiment ou toute installation en tenant lieu, même en matériaux non durables, qui est incorporé au sol, ancré à celui-ci ou dont l'appui assure la stabilité, destiné à rester en place alors même qu'il peut être démonté ou déplacé ;</w:t>
      </w:r>
    </w:p>
    <w:p w14:paraId="5B9C3A4D" w14:textId="77777777" w:rsidR="0022723E" w:rsidRPr="00C51D72" w:rsidRDefault="003C36C7">
      <w:pPr>
        <w:pStyle w:val="whP16pod"/>
        <w:numPr>
          <w:ilvl w:val="0"/>
          <w:numId w:val="3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immeuble inoccupé : sauf si le redevable prouve qu'au cours de la période visée au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alinéa 2, l'immeuble ou la partie d'immeuble bâti a effectivement servi de logement ou de lieu d'exercice d'activités de nature industrielle, artisanale, agricole, horticole, commerciale, sociale, culturelle ou de services :</w:t>
      </w:r>
    </w:p>
    <w:p w14:paraId="13758C71" w14:textId="77777777" w:rsidR="0022723E" w:rsidRPr="00C51D72" w:rsidRDefault="003C36C7">
      <w:pPr>
        <w:pStyle w:val="whP16pod"/>
        <w:numPr>
          <w:ilvl w:val="0"/>
          <w:numId w:val="35"/>
        </w:numPr>
        <w:tabs>
          <w:tab w:val="left" w:pos="922"/>
        </w:tabs>
        <w:rPr>
          <w:rFonts w:ascii="Times New Roman" w:hAnsi="Times New Roman" w:cs="Times New Roman"/>
          <w:sz w:val="22"/>
          <w:szCs w:val="22"/>
        </w:rPr>
      </w:pPr>
      <w:r w:rsidRPr="00C51D72">
        <w:rPr>
          <w:rFonts w:ascii="Times New Roman" w:hAnsi="Times New Roman" w:cs="Times New Roman"/>
          <w:sz w:val="22"/>
          <w:szCs w:val="22"/>
        </w:rPr>
        <w:t>soit l'immeuble bâti ou la partie d'immeuble bâti pour lequel ou laquelle aucune personne n'est inscrite dans les registres de la population ou d'attente, ou pour lequel ou laquelle il n'y a pas d'inscription à la Banque-Carrefour des Entreprises ;</w:t>
      </w:r>
    </w:p>
    <w:p w14:paraId="1F99972E" w14:textId="77777777" w:rsidR="0022723E" w:rsidRPr="00C51D72" w:rsidRDefault="003C36C7">
      <w:pPr>
        <w:pStyle w:val="whP16pod"/>
        <w:numPr>
          <w:ilvl w:val="0"/>
          <w:numId w:val="4"/>
        </w:numPr>
        <w:tabs>
          <w:tab w:val="left" w:pos="922"/>
        </w:tabs>
        <w:rPr>
          <w:rFonts w:ascii="Times New Roman" w:hAnsi="Times New Roman" w:cs="Times New Roman"/>
          <w:sz w:val="22"/>
          <w:szCs w:val="22"/>
        </w:rPr>
      </w:pPr>
      <w:r w:rsidRPr="00C51D72">
        <w:rPr>
          <w:rFonts w:ascii="Times New Roman" w:hAnsi="Times New Roman" w:cs="Times New Roman"/>
          <w:sz w:val="22"/>
          <w:szCs w:val="22"/>
        </w:rPr>
        <w:t>soit, indépendamment de toute inscription dans les registres de la population ou d'attente ou à la Banque-Carrefour des Entreprises, l'immeuble bâti ou partie d'immeuble bâti :</w:t>
      </w:r>
    </w:p>
    <w:p w14:paraId="6249882A" w14:textId="77777777" w:rsidR="0022723E" w:rsidRPr="00C51D72" w:rsidRDefault="003C36C7">
      <w:pPr>
        <w:pStyle w:val="whP16pod"/>
        <w:numPr>
          <w:ilvl w:val="0"/>
          <w:numId w:val="36"/>
        </w:numPr>
        <w:tabs>
          <w:tab w:val="left" w:pos="922"/>
        </w:tabs>
        <w:rPr>
          <w:rFonts w:ascii="Times New Roman" w:hAnsi="Times New Roman" w:cs="Times New Roman"/>
          <w:sz w:val="22"/>
          <w:szCs w:val="22"/>
        </w:rPr>
      </w:pPr>
      <w:r w:rsidRPr="00C51D72">
        <w:rPr>
          <w:rFonts w:ascii="Times New Roman" w:hAnsi="Times New Roman" w:cs="Times New Roman"/>
          <w:sz w:val="22"/>
          <w:szCs w:val="22"/>
        </w:rPr>
        <w:t>dont l'exploitation relève du décret du 11 mars 1999 relatif au permis d'environnement, dès lors que soit, le permis d'exploiter, d'environnement, unique ou la déclaration requise n'a pas été mis en œuvre et est périmé soit que ledit établissement fait l'objet d'un ordre d'arrêter l'exploitation, d'un retrait ou d'une suspension d'autorisation prononcé en vertu du décret susmentionné ;</w:t>
      </w:r>
    </w:p>
    <w:p w14:paraId="39F9A5E6" w14:textId="77777777" w:rsidR="0022723E" w:rsidRPr="00C51D72" w:rsidRDefault="003C36C7">
      <w:pPr>
        <w:pStyle w:val="whP16pod"/>
        <w:numPr>
          <w:ilvl w:val="0"/>
          <w:numId w:val="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dont l'occupation relève d'une activité soumise à un permis d’urbanisme d'implantation commerciale conformément à l’article D.IV,4, alinéa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8° du CoDT tel que modifié par l’arrêté du Gouvernement wallon du 25 avril 2024 lorsque ladite implantation fait l'objet d'un ordre de fermeture, d'un retrait ou d'une suspension d'autorisation ;</w:t>
      </w:r>
    </w:p>
    <w:p w14:paraId="395E3EF3" w14:textId="77777777" w:rsidR="0022723E" w:rsidRPr="00C51D72" w:rsidRDefault="003C36C7">
      <w:pPr>
        <w:pStyle w:val="whP16pod"/>
        <w:numPr>
          <w:ilvl w:val="0"/>
          <w:numId w:val="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dont l'état du clos (c’est-à-dire des murs, huisseries, fermetures) ou du couvert (c’est-à-dire de la couverture, charpente) n'est pas compatible avec l’occupation à laquelle il est structurellement destiné et dont, le cas échéant, le permis d’urbanisme ou le permis unique en tenant lieu, est périmé ;</w:t>
      </w:r>
    </w:p>
    <w:p w14:paraId="6FA1B44F" w14:textId="77777777" w:rsidR="0022723E" w:rsidRPr="00C51D72" w:rsidRDefault="003C36C7">
      <w:pPr>
        <w:pStyle w:val="whP16pod"/>
        <w:numPr>
          <w:ilvl w:val="0"/>
          <w:numId w:val="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faisant l'objet d'un arrêté d'inhabitabilité en application du code wallon du logement ;</w:t>
      </w:r>
    </w:p>
    <w:p w14:paraId="298F3835" w14:textId="77777777" w:rsidR="0022723E" w:rsidRPr="00C51D72" w:rsidRDefault="003C36C7">
      <w:pPr>
        <w:pStyle w:val="whP16pod"/>
        <w:numPr>
          <w:ilvl w:val="0"/>
          <w:numId w:val="3"/>
        </w:numPr>
        <w:tabs>
          <w:tab w:val="left" w:pos="922"/>
        </w:tabs>
        <w:rPr>
          <w:rFonts w:ascii="Times New Roman" w:hAnsi="Times New Roman" w:cs="Times New Roman"/>
          <w:sz w:val="22"/>
          <w:szCs w:val="22"/>
        </w:rPr>
      </w:pPr>
      <w:r w:rsidRPr="00C51D72">
        <w:rPr>
          <w:rFonts w:ascii="Times New Roman" w:hAnsi="Times New Roman" w:cs="Times New Roman"/>
          <w:sz w:val="22"/>
          <w:szCs w:val="22"/>
        </w:rPr>
        <w:t>faisant l'objet d'un arrêté ordonnant la démolition ou en interdisant l'occupation, pris en application de l'article 135 de la nouvelle loi communale.</w:t>
      </w:r>
    </w:p>
    <w:p w14:paraId="766C065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tout état de cause, l'occupation sans droit ni titre ou une occupation proscrite par un arrêté pris sur base de l’article 135 de la Nouvelle Loi Communale ne peut être considérée comme une occupation au sens du présent règlement.</w:t>
      </w:r>
    </w:p>
    <w:p w14:paraId="293B530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Le fait générateur de la taxe est le maintien en l'état d'un immeuble ou partie d'immeuble visé ci-dessus pendant la période comprise entre deux constats successifs qui seront distants d’une période minimale de 6 mois. Cette période entre les deux constats sera identique pour tous les redevables.</w:t>
      </w:r>
    </w:p>
    <w:p w14:paraId="63EDFCD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xml:space="preserve"> constat établi durant la période de validité d’un règlement antérieur au présent règlement garde toute sa validité. Il n’est donc pas nécessaire de recommencer le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xml:space="preserve"> constat en se basant sur les dispositions du présent règlement.</w:t>
      </w:r>
    </w:p>
    <w:p w14:paraId="6B056360" w14:textId="258A7EE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période imposable est l'année au cours de laquelle le constat visé à l'article 5, § 2, ou un constat annuel postérieur à celui-ci, tel que visé à l'article 5§3 établissant l'existence d'un immeuble bâti inoccupé maintenu en l'état, est dressé. </w:t>
      </w:r>
    </w:p>
    <w:p w14:paraId="627F6904" w14:textId="4D333E81"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2</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La taxe est due par le titulaire du droit </w:t>
      </w:r>
      <w:r w:rsidRPr="00C51D72">
        <w:rPr>
          <w:rStyle w:val="whP6pod"/>
          <w:rFonts w:ascii="Times New Roman" w:hAnsi="Times New Roman" w:cs="Times New Roman"/>
          <w:sz w:val="22"/>
          <w:szCs w:val="22"/>
        </w:rPr>
        <w:t>réel</w:t>
      </w:r>
      <w:r w:rsidRPr="00C51D72">
        <w:rPr>
          <w:rFonts w:ascii="Times New Roman" w:hAnsi="Times New Roman" w:cs="Times New Roman"/>
          <w:sz w:val="22"/>
          <w:szCs w:val="22"/>
        </w:rPr>
        <w:t xml:space="preserve"> (propriétaire, usufruitier, …) sur tout ou partie d'un immeuble inoccupé à la date du deuxième constat, ou, le cas échéant, de chaque constat postérieur à celui-ci. En cas de pluralité de titulaires du droit réel, chacun d'entre eux est codébiteur de la taxe. </w:t>
      </w:r>
    </w:p>
    <w:p w14:paraId="4CEC99B7"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3</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Le taux de la taxe est fixé par mètre courant de façade d'immeuble bâti ou de partie d’immeuble bâti, tout mètre commencé étant dû en entier.</w:t>
      </w:r>
    </w:p>
    <w:p w14:paraId="2BD1E47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Lors de la 1</w:t>
      </w:r>
      <w:r w:rsidRPr="00C51D72">
        <w:rPr>
          <w:rStyle w:val="whP19pod"/>
          <w:rFonts w:ascii="Times New Roman" w:hAnsi="Times New Roman" w:cs="Times New Roman"/>
          <w:sz w:val="22"/>
          <w:szCs w:val="22"/>
        </w:rPr>
        <w:t>ère</w:t>
      </w:r>
      <w:r w:rsidRPr="00C51D72">
        <w:rPr>
          <w:rFonts w:ascii="Times New Roman" w:hAnsi="Times New Roman" w:cs="Times New Roman"/>
          <w:sz w:val="22"/>
          <w:szCs w:val="22"/>
        </w:rPr>
        <w:t xml:space="preserve"> taxation : 30 euros par mètre courant de façade,</w:t>
      </w:r>
    </w:p>
    <w:p w14:paraId="2E365AA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Lors de la 2</w:t>
      </w:r>
      <w:r w:rsidRPr="00C51D72">
        <w:rPr>
          <w:rStyle w:val="whP19pod"/>
          <w:rFonts w:ascii="Times New Roman" w:hAnsi="Times New Roman" w:cs="Times New Roman"/>
          <w:sz w:val="22"/>
          <w:szCs w:val="22"/>
        </w:rPr>
        <w:t>ème</w:t>
      </w:r>
      <w:r w:rsidRPr="00C51D72">
        <w:rPr>
          <w:rFonts w:ascii="Times New Roman" w:hAnsi="Times New Roman" w:cs="Times New Roman"/>
          <w:sz w:val="22"/>
          <w:szCs w:val="22"/>
        </w:rPr>
        <w:t xml:space="preserve"> taxation : 60 euros par mètre courant de façade,</w:t>
      </w:r>
    </w:p>
    <w:p w14:paraId="7641C0E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À partir de la 3</w:t>
      </w:r>
      <w:r w:rsidRPr="00C51D72">
        <w:rPr>
          <w:rStyle w:val="whP19pod"/>
          <w:rFonts w:ascii="Times New Roman" w:hAnsi="Times New Roman" w:cs="Times New Roman"/>
          <w:sz w:val="22"/>
          <w:szCs w:val="22"/>
        </w:rPr>
        <w:t>ème</w:t>
      </w:r>
      <w:r w:rsidRPr="00C51D72">
        <w:rPr>
          <w:rFonts w:ascii="Times New Roman" w:hAnsi="Times New Roman" w:cs="Times New Roman"/>
          <w:sz w:val="22"/>
          <w:szCs w:val="22"/>
        </w:rPr>
        <w:t xml:space="preserve"> taxation : 330 euros par mètre courant de façade.</w:t>
      </w:r>
    </w:p>
    <w:p w14:paraId="5392CCF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41CCFDD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façade d'immeuble, il y a lieu d'entendre la façade principale, c'est-à-dire celle où se trouve la porte d’entrée principale.</w:t>
      </w:r>
    </w:p>
    <w:p w14:paraId="438E79E1" w14:textId="41F1CBD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montant de la taxe est obtenu comme suit : taux de la taxe multiplié par le résultat de l'addition du nombre de mètres courants de façade d'immeuble à chacun des niveaux inoccupés de l'immeuble, à l'exception des caves, sous-sols et combles non aménagés. </w:t>
      </w:r>
    </w:p>
    <w:p w14:paraId="4BE6823B"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4</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Exonérations :</w:t>
      </w:r>
    </w:p>
    <w:p w14:paraId="651EF4F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Ne donne pas lieu à la perception de la taxe, l'immeuble bâti inoccupé pour lequel le titulaire du droit réel démontre que l'inoccupation est indépendante de sa volonté.</w:t>
      </w:r>
    </w:p>
    <w:p w14:paraId="6FA77D6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Est également exonéré de la taxe :</w:t>
      </w:r>
    </w:p>
    <w:p w14:paraId="078350BC" w14:textId="77777777" w:rsidR="0022723E" w:rsidRPr="00C51D72" w:rsidRDefault="003C36C7">
      <w:pPr>
        <w:pStyle w:val="whP14pod"/>
        <w:numPr>
          <w:ilvl w:val="0"/>
          <w:numId w:val="37"/>
        </w:numPr>
        <w:tabs>
          <w:tab w:val="left" w:pos="922"/>
        </w:tabs>
        <w:rPr>
          <w:rFonts w:ascii="Times New Roman" w:hAnsi="Times New Roman" w:cs="Times New Roman"/>
          <w:sz w:val="22"/>
          <w:szCs w:val="22"/>
        </w:rPr>
      </w:pPr>
      <w:r w:rsidRPr="00C51D72">
        <w:rPr>
          <w:rFonts w:ascii="Times New Roman" w:hAnsi="Times New Roman" w:cs="Times New Roman"/>
          <w:sz w:val="22"/>
          <w:szCs w:val="22"/>
        </w:rPr>
        <w:lastRenderedPageBreak/>
        <w:t>L'immeuble bâti inoccupé pour cause de travaux en cours ne nécessitant pas d’autorisation et ce pour une période maximale de 2 années ;</w:t>
      </w:r>
    </w:p>
    <w:p w14:paraId="53BCEE46" w14:textId="77777777" w:rsidR="0022723E" w:rsidRPr="00C51D72" w:rsidRDefault="003C36C7">
      <w:pPr>
        <w:pStyle w:val="whP14pod"/>
        <w:numPr>
          <w:ilvl w:val="0"/>
          <w:numId w:val="37"/>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L’immeuble bâti faisant effectivement l'objet de travaux d'achèvement dûment autorisés ;</w:t>
      </w:r>
    </w:p>
    <w:p w14:paraId="120DD331" w14:textId="77777777" w:rsidR="0022723E" w:rsidRPr="00C51D72" w:rsidRDefault="003C36C7">
      <w:pPr>
        <w:pStyle w:val="whP14pod"/>
        <w:numPr>
          <w:ilvl w:val="0"/>
          <w:numId w:val="37"/>
        </w:numPr>
        <w:tabs>
          <w:tab w:val="left" w:pos="922"/>
        </w:tabs>
        <w:rPr>
          <w:rFonts w:ascii="Times New Roman" w:hAnsi="Times New Roman" w:cs="Times New Roman"/>
          <w:sz w:val="22"/>
          <w:szCs w:val="22"/>
        </w:rPr>
      </w:pPr>
      <w:r w:rsidRPr="00C51D72">
        <w:rPr>
          <w:rFonts w:ascii="Times New Roman" w:hAnsi="Times New Roman" w:cs="Times New Roman"/>
          <w:sz w:val="22"/>
          <w:szCs w:val="22"/>
        </w:rPr>
        <w:t>L’immeuble bâti laissé inoccupé pendant une période maximale de 2 ans à la suite d’un décès ;</w:t>
      </w:r>
    </w:p>
    <w:p w14:paraId="3A6C566A" w14:textId="6F3A52C9" w:rsidR="0022723E" w:rsidRPr="003410F7" w:rsidRDefault="003C36C7" w:rsidP="003410F7">
      <w:pPr>
        <w:pStyle w:val="whP14pod"/>
        <w:numPr>
          <w:ilvl w:val="0"/>
          <w:numId w:val="37"/>
        </w:numPr>
        <w:tabs>
          <w:tab w:val="left" w:pos="922"/>
        </w:tabs>
        <w:rPr>
          <w:rFonts w:ascii="Times New Roman" w:hAnsi="Times New Roman" w:cs="Times New Roman"/>
          <w:sz w:val="22"/>
          <w:szCs w:val="22"/>
        </w:rPr>
      </w:pPr>
      <w:r w:rsidRPr="003410F7">
        <w:rPr>
          <w:rFonts w:ascii="Times New Roman" w:hAnsi="Times New Roman" w:cs="Times New Roman"/>
          <w:sz w:val="22"/>
          <w:szCs w:val="22"/>
        </w:rPr>
        <w:t>L’immeuble bâti scindé en plusieurs logements qui appartiennent à une même personne ou aux membres d’une même famille (ayant un lien de parenté jusqu’au 3</w:t>
      </w:r>
      <w:r w:rsidRPr="003410F7">
        <w:rPr>
          <w:rStyle w:val="whP19pod"/>
          <w:rFonts w:ascii="Times New Roman" w:hAnsi="Times New Roman" w:cs="Times New Roman"/>
          <w:sz w:val="22"/>
          <w:szCs w:val="22"/>
        </w:rPr>
        <w:t>e</w:t>
      </w:r>
      <w:r w:rsidRPr="003410F7">
        <w:rPr>
          <w:rFonts w:ascii="Times New Roman" w:hAnsi="Times New Roman" w:cs="Times New Roman"/>
          <w:sz w:val="22"/>
          <w:szCs w:val="22"/>
        </w:rPr>
        <w:t xml:space="preserve"> degré) et dont au moins un logement reste occupé pour autant qu’aucun ne soit délabré. Ne sont pris en considération pour cette exonération que les immeubles bâtis dont les logements sont occupés par les membres d’une même famille (avec un lien de parenté allant jusqu’au 3e degré) durant la période précédant la période d’inhabitation d’un desdits logements ; </w:t>
      </w:r>
    </w:p>
    <w:p w14:paraId="693BE5F7"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5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L'administration communale appliquera la procédure de constat suivante :</w:t>
      </w:r>
    </w:p>
    <w:p w14:paraId="39F21D2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xml:space="preserve"> a) Les fonctionnaires désignés par le collège communal dressent un constat établissant l'existence d'un immeuble bâti inoccupé.</w:t>
      </w:r>
    </w:p>
    <w:p w14:paraId="18564F7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b) Le constat est notifié par voie recommandée au titulaire du droit réel (propriétaire, usufruitier, …) sur tout ou partie de l'immeuble dans les trente jours.</w:t>
      </w:r>
    </w:p>
    <w:p w14:paraId="4234703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 Le titulaire du droit réel sur tout ou partie de l'immeuble peut apporter, par écrit, la preuve que l’immeuble a effectivement servi de logement ou de lieu d'exercice d'activités de nature industrielle, artisanale, agricole, horticole, commerciale, sociale, culturelle ou de services aux fonctionnaires susmentionnés dans un délai de trente jours à dater de la notification visée au point b.</w:t>
      </w:r>
    </w:p>
    <w:p w14:paraId="70C0ABF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Lorsque les délais, visés aux points b et c, expirent un samedi, un dimanche ou un jour férié légal, le délai est prorogé jusqu'au premier jour ouvrable suivant.</w:t>
      </w:r>
    </w:p>
    <w:p w14:paraId="2A92FED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Un contrôle est effectué au moins six mois après l'établissement du constat visé au point a.</w:t>
      </w:r>
    </w:p>
    <w:p w14:paraId="6447A11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suite au contrôle visé à l’alinéa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xml:space="preserve"> du présent paragraphe, un second constat établissant l'existence d'un immeuble bâti inoccupé est dressé, l'immeuble ou la partie d'immeuble inoccupé est considéré comme maintenu en l'état au sens de l'article 1er.</w:t>
      </w:r>
    </w:p>
    <w:p w14:paraId="2AFB325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§3. Un contrôle est effectué annuellement au moins six mois après l'établissement du constat précédent.</w:t>
      </w:r>
    </w:p>
    <w:p w14:paraId="01C7F92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Si un nouveau constat établissant l'existence d'un immeuble bâti inoccupé est dressé, l'immeuble ou la partie d'immeuble inoccupé est considéré comme maintenu en l'état au sens de l'article 1er.</w:t>
      </w:r>
    </w:p>
    <w:p w14:paraId="1F6A916A" w14:textId="2B86D18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§4. La procédure d’établissement du second constat et des constats ultérieurs est réalisée conformément au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w:t>
      </w:r>
    </w:p>
    <w:p w14:paraId="39884DED" w14:textId="6E21AA51"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6</w:t>
      </w:r>
      <w:r w:rsidRPr="00C51D72">
        <w:rPr>
          <w:rStyle w:val="whP21pod"/>
          <w:rFonts w:ascii="Times New Roman" w:hAnsi="Times New Roman" w:cs="Times New Roman"/>
          <w:sz w:val="22"/>
          <w:szCs w:val="22"/>
        </w:rPr>
        <w:t xml:space="preserve">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La taxe est perçue par voie de rôle et est payable dans les deux mois de l’envoi de l'avertissement extrait de rôle. </w:t>
      </w:r>
    </w:p>
    <w:p w14:paraId="3D2253A4"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 xml:space="preserve">Article 7 </w:t>
      </w:r>
      <w:r w:rsidRPr="003410F7">
        <w:rPr>
          <w:rStyle w:val="whP6pod"/>
          <w:rFonts w:ascii="Times New Roman" w:hAnsi="Times New Roman" w:cs="Times New Roman"/>
          <w:b/>
          <w:bCs/>
          <w:sz w:val="22"/>
          <w:szCs w:val="22"/>
        </w:rPr>
        <w:t>–</w:t>
      </w:r>
      <w:r w:rsidRPr="00C51D72">
        <w:rPr>
          <w:rFonts w:ascii="Times New Roman" w:hAnsi="Times New Roman" w:cs="Times New Roman"/>
          <w:sz w:val="22"/>
          <w:szCs w:val="22"/>
        </w:rPr>
        <w:t xml:space="preserve"> En cas de non-paiement de la taxe à l'échéance fixée à l'article 6,conformément à l’article L3321-8bis du Code de la démocratie locale et de la décentralisation, une sommation de payer sera envoyée au contribuable.</w:t>
      </w:r>
    </w:p>
    <w:p w14:paraId="48EFCC1F" w14:textId="1C8FEA0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sommation de payer se fera par courrier recommandé et les frais postaux de cet envoi seront à charge du redevable. Ces frais seront recouvrés de la même manière que la taxe à laquelle ils se rapportent. </w:t>
      </w:r>
    </w:p>
    <w:p w14:paraId="0CB2D467" w14:textId="5812BBAE"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8</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438B314F"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9</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Dans l'hypothèse où le même bien pourrait également être soumis à la taxe sur les secondes résidences, seule la taxe sur les immeubles bâtis inoccupés, sera due.</w:t>
      </w:r>
    </w:p>
    <w:p w14:paraId="77E3A679" w14:textId="3F38CF7D"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10 -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73767241"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220A2306"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 ;</w:t>
      </w:r>
    </w:p>
    <w:p w14:paraId="79EE56F2"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478A83D7"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27F0A7BF"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w:t>
      </w:r>
    </w:p>
    <w:p w14:paraId="40AB3EA2" w14:textId="017CD152" w:rsidR="0022723E" w:rsidRPr="00C51D72" w:rsidRDefault="003C36C7" w:rsidP="003410F7">
      <w:pPr>
        <w:pStyle w:val="whP26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6CFA245D" w14:textId="75E118E2"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11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sera transmis au Gouvernement Wallon conformément aux articles L3131-1 et suivants du Code de la démocratie locale et de la décentralisation pour exercice de la tutelle spéciale d’approbation</w:t>
      </w:r>
      <w:r w:rsidR="003410F7">
        <w:rPr>
          <w:rFonts w:ascii="Times New Roman" w:hAnsi="Times New Roman" w:cs="Times New Roman"/>
          <w:sz w:val="22"/>
          <w:szCs w:val="22"/>
        </w:rPr>
        <w:t>.</w:t>
      </w:r>
      <w:r w:rsidRPr="00C51D72">
        <w:rPr>
          <w:rFonts w:ascii="Times New Roman" w:hAnsi="Times New Roman" w:cs="Times New Roman"/>
          <w:sz w:val="22"/>
          <w:szCs w:val="22"/>
        </w:rPr>
        <w:t> </w:t>
      </w:r>
    </w:p>
    <w:p w14:paraId="5351E68A" w14:textId="77777777"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12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entrera en vigueur après accomplissement des formalités de la publication faites conformément aux articles L1133-1 et 2 du Code de la démocratie locale et de la décentralisation.</w:t>
      </w:r>
    </w:p>
    <w:p w14:paraId="08062590" w14:textId="77777777" w:rsidR="0022723E" w:rsidRPr="00C51D72" w:rsidRDefault="0022723E">
      <w:pPr>
        <w:rPr>
          <w:rFonts w:ascii="Times New Roman" w:hAnsi="Times New Roman" w:cs="Times New Roman"/>
          <w:sz w:val="22"/>
          <w:szCs w:val="22"/>
        </w:rPr>
      </w:pPr>
    </w:p>
    <w:p w14:paraId="6EDBA83A" w14:textId="77777777" w:rsidR="0022723E" w:rsidRPr="00C51D72" w:rsidRDefault="0022723E">
      <w:pPr>
        <w:pStyle w:val="Titre2"/>
        <w:tabs>
          <w:tab w:val="left" w:pos="1020"/>
        </w:tabs>
        <w:spacing w:before="0" w:after="0"/>
        <w:ind w:left="510" w:hanging="510"/>
        <w:jc w:val="both"/>
        <w:rPr>
          <w:rFonts w:cs="Times New Roman"/>
          <w:color w:val="000000"/>
          <w:szCs w:val="22"/>
          <w:u w:val="none"/>
        </w:rPr>
      </w:pPr>
    </w:p>
    <w:p w14:paraId="7BD1ABA2"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5B25BB7" w14:textId="77777777" w:rsidR="0022723E" w:rsidRPr="00C51D72" w:rsidRDefault="003C36C7">
      <w:pPr>
        <w:pStyle w:val="Titre2"/>
        <w:tabs>
          <w:tab w:val="left" w:pos="1020"/>
        </w:tabs>
        <w:spacing w:before="0" w:after="113"/>
        <w:ind w:left="510" w:hanging="510"/>
        <w:jc w:val="both"/>
        <w:rPr>
          <w:rFonts w:cs="Times New Roman"/>
          <w:szCs w:val="22"/>
        </w:rPr>
      </w:pPr>
      <w:bookmarkStart w:id="20" w:name="__RefHeading___Toc1768_349934923620"/>
      <w:bookmarkEnd w:id="20"/>
      <w:r w:rsidRPr="00C51D72">
        <w:rPr>
          <w:rFonts w:cs="Times New Roman"/>
          <w:color w:val="000000"/>
          <w:szCs w:val="22"/>
          <w:u w:val="none"/>
        </w:rPr>
        <w:lastRenderedPageBreak/>
        <w:t>21.</w:t>
      </w:r>
      <w:r w:rsidRPr="00C51D72">
        <w:rPr>
          <w:rFonts w:cs="Times New Roman"/>
          <w:color w:val="000000"/>
          <w:szCs w:val="22"/>
          <w:u w:val="none"/>
        </w:rPr>
        <w:tab/>
      </w:r>
      <w:r w:rsidRPr="00C51D72">
        <w:rPr>
          <w:rFonts w:cs="Times New Roman"/>
          <w:caps/>
          <w:color w:val="000000"/>
          <w:szCs w:val="22"/>
        </w:rPr>
        <w:t>TAXE SUR LES ENSEIGNES ET PUBLICITÉS ASSIMILÉES OBSOLÈTES - EXERCICES 2026 À 2031.</w:t>
      </w:r>
    </w:p>
    <w:p w14:paraId="16754AAF"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2F1157C9" w14:textId="578492C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§4 ; </w:t>
      </w:r>
    </w:p>
    <w:p w14:paraId="017B7E40" w14:textId="13FFE61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18/01/2001) et la loi du 24 juin 2000 (M.B. 23.09.2004) portant assentiment à la Charte européenne de l'autonomie fiscale ; </w:t>
      </w:r>
    </w:p>
    <w:p w14:paraId="18B26753" w14:textId="5B2AB54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et notamment les articles L1122-30 et L3321-1 à L3321-12 ; </w:t>
      </w:r>
    </w:p>
    <w:p w14:paraId="238AB1A9" w14:textId="1078619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en vigueur en matière d’établissement et de recouvrement des taxes communales ; </w:t>
      </w:r>
    </w:p>
    <w:p w14:paraId="7A295006" w14:textId="7544DC0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17D7B5DB" w14:textId="6DBA1A9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situation financière de la Commune ; que l’objectif principal poursuivi par la présente taxe est de procurer à la Commune les moyens financiers nécessaires à ses missions et aux politiques qu’elle entend mener, ainsi que d’assurer son équilibre financier ; </w:t>
      </w:r>
    </w:p>
    <w:p w14:paraId="3F878220" w14:textId="179BCEA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par ailleurs que le fait de laisser sur l’espace public des enseignes publicitaires obsolètes crée une pollution visuelle qu’il y a lieu de dissuader ; </w:t>
      </w:r>
    </w:p>
    <w:p w14:paraId="772E6360" w14:textId="4F54B45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suppression de l’enseigne publicitaire obsolète requiert généralement un travail plus complexe que le retrait d’un affichage publicitaire obsolète ; qu’en outre, l’enseigne peut être reprise par un autre gérant ou exploitant et qu’il y a dès lors lieu de considérer que l’enseigne est moins rapidement définie d’obsolète que l’affichage publicitaire qui a une vocation plus éphémère ; </w:t>
      </w:r>
    </w:p>
    <w:p w14:paraId="3514D8FB" w14:textId="7F9834B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cette taxe vise les enseignes et publicités assimilées qui restent placées alors que le commerce qu'elles renseignaient a cessé ses activités depuis un minimum de 6 mois ; </w:t>
      </w:r>
    </w:p>
    <w:p w14:paraId="3141BD9B" w14:textId="0D2C388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 présent règlement vise la qualité ainsi que la sauvegarde architecturale et urbanistique du bâti ; </w:t>
      </w:r>
    </w:p>
    <w:p w14:paraId="07CE0931" w14:textId="7480CB2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toute enseigne qui n'est plus en rapport avec l'activité commerciale de l'établissement doit être retirée par les soins de celui qui l'exerçait ; </w:t>
      </w:r>
    </w:p>
    <w:p w14:paraId="5E7A1054" w14:textId="0BFFC2D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l'envoi d'un recommandé préalablement au commandement par voie d'huissier constitue une sécurité juridique en cas de contestation du contribuable (preuve de l'envoi) et qu'il convient dès lors de conserver cette formule ; </w:t>
      </w:r>
    </w:p>
    <w:p w14:paraId="75AFF3F4" w14:textId="6DE3444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convient dès lors de conserver la formule d'un premier rappel par envoi simple, suivi d'une sommation de payer par envoi par recommandé avant le commandement par voie d'huissier ; </w:t>
      </w:r>
    </w:p>
    <w:p w14:paraId="6E5576AB" w14:textId="42BED67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convient dès lors que les frais postaux de la sommation de payer par recommandé soient répercutés sur les contribuables qui se sont mis dans cette situation volontairement ou par négligence ; </w:t>
      </w:r>
    </w:p>
    <w:p w14:paraId="72E03886" w14:textId="2E35A31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transmission du dossier au Directeur Financier pour avis préalable en date du 29 octobre 2025 ; </w:t>
      </w:r>
    </w:p>
    <w:p w14:paraId="60082905" w14:textId="5ABD79D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l'avis favorable du Directeur Financier remis en date du 03 novembre 2025 ; </w:t>
      </w:r>
    </w:p>
    <w:p w14:paraId="7A79422B" w14:textId="31F950C8"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w:t>
      </w:r>
    </w:p>
    <w:p w14:paraId="42B49B05" w14:textId="449CCA4B"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DÉCIDE :</w:t>
      </w:r>
      <w:r w:rsidRPr="003410F7">
        <w:rPr>
          <w:rFonts w:ascii="Times New Roman" w:hAnsi="Times New Roman" w:cs="Times New Roman"/>
          <w:b/>
          <w:bCs/>
          <w:sz w:val="22"/>
          <w:szCs w:val="22"/>
        </w:rPr>
        <w:t> </w:t>
      </w:r>
    </w:p>
    <w:p w14:paraId="25ABED61"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1er : Objet</w:t>
      </w:r>
    </w:p>
    <w:p w14:paraId="4FBE5E8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 Il est établi, pour les exercices 2026 à 2031 inclus, une taxe communale annuelle sur les enseignes publicitaires et publicités assimilées obsolètes. Cette taxe vise les enseignes publicitaires et publicités assimilées qui restent placées alors que le commerce qu'elles renseignaient a cessé ses activités depuis un minimum de 6 mois.</w:t>
      </w:r>
    </w:p>
    <w:p w14:paraId="553E4FE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On entend par « enseigne publicitaire » un panneau, dispositif ou emblème qui signale toute activité lucrative ou non présente sur les lieux dudit commerce ou de l’activité.</w:t>
      </w:r>
    </w:p>
    <w:p w14:paraId="56DDD81A" w14:textId="4E097D9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§3. On entend par « enseigne publicitaire obsolète » l’enseigne publicitaire concernant un commerce ou une autre activité qui a cessé ses activités sur les lieux depuis un minimum de 6 mois. </w:t>
      </w:r>
    </w:p>
    <w:p w14:paraId="17B82FA5"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2 : Redevable</w:t>
      </w:r>
    </w:p>
    <w:p w14:paraId="32B1A958" w14:textId="5D238AE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Sont codébiteurs solidaires de la taxe, la(les) personne(s) physique(s) ou morale(s) propriétaire(s), le(s) titulaire(s) d'un autre droit réel sur le bâtiment sur lequel les enseignes et/ou publicités assimilées obsolètes sont apposées et l’(les) exploitant(s) de l’activité renseignée sur l’enseigne. </w:t>
      </w:r>
    </w:p>
    <w:p w14:paraId="64BA6358"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3 : Taux et mode de calcul </w:t>
      </w:r>
    </w:p>
    <w:p w14:paraId="5F601721" w14:textId="3794AE9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annuelle est fixée à 300,00 euros par enseigne publicitaire ou publicité assimilée obsolète. </w:t>
      </w:r>
    </w:p>
    <w:p w14:paraId="04642EA0"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4 : Recensement</w:t>
      </w:r>
    </w:p>
    <w:p w14:paraId="125D573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 La visibilité sur ou depuis l’espace public d’une enseigne publicitaire ou d'une publicité assimilée obsolète fait l’objet d’un constat établi par un agent communal habilité à cette fin par le Collège communal.</w:t>
      </w:r>
    </w:p>
    <w:p w14:paraId="723432D3" w14:textId="5DFA953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Le constat sert de base à l’enrôlement de la taxe. </w:t>
      </w:r>
    </w:p>
    <w:p w14:paraId="578ECC26"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5 : Recouvrement</w:t>
      </w:r>
    </w:p>
    <w:p w14:paraId="1C3AC59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 La taxe est recouvrée par voie de rôle.</w:t>
      </w:r>
    </w:p>
    <w:p w14:paraId="15BC02E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Le rôle de la taxe est arrêté et rendu exécutoire, au plus tard le 30 juin de l’année qui suit l’exercice d’imposition, par le Collège communal.</w:t>
      </w:r>
    </w:p>
    <w:p w14:paraId="68C772B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§3. La taxe est recouvrée par le Directeur financier conformément aux articles L3321-1 et suivants du Code de la démocratie locale et de la décentralisation et est payable dans les deux mois de l’avertissement-extrait de rôle.</w:t>
      </w:r>
    </w:p>
    <w:p w14:paraId="4687BAE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Passé ce délai, les sommes sont productives, au profit de la Commune, d’intérêts de retard appliqués et calculés d’après les règles en vigueur en matière d’impôt sur les revenus.</w:t>
      </w:r>
    </w:p>
    <w:p w14:paraId="09B4DF57" w14:textId="713A7DC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§4. En cas de non-paiement à l'échéance, un premier rappel par pli simple gratuit est envoyé au contribuable. A défaut de paiement dans les 15 jours à la suite de ce rappel, conformément à l’article L3321-8bis du Code de la démocratie locale et de la décentralisation, une sommation de payer sera envoyée au contribuable. Cette sommation de payer se fera par courrier recommandé et les frais postaux de cet envoi seront à charge du redevable. Ces frais seront recouvrés de la même manière que la taxe à laquelle ils se rapportent. </w:t>
      </w:r>
    </w:p>
    <w:p w14:paraId="7AE8B523"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6 : Réclamation</w:t>
      </w:r>
    </w:p>
    <w:p w14:paraId="4C7A0A2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 Le redevable ou son représentant peut introduire une réclamation contre une taxe enrôlée en vertu du présent règlement, et ce, conformément aux articles L3321-1 à L3321-12 du Code de la démocratie locale et de la décentralisation et à l’arrêté royal du 12 avril 1999 déterminant la procédure devant le Gouverneur ou devant le Collège des bourgmestre et échevins en matière de réclamation contre une imposition provinciale ou communale.</w:t>
      </w:r>
    </w:p>
    <w:p w14:paraId="00E57A5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Toute réclamation doit être introduite auprès du Collège communal qui agit en tant qu’autorité administrative.</w:t>
      </w:r>
    </w:p>
    <w:p w14:paraId="5B06BEF8" w14:textId="6BF8E4C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réclamation doit être introduite, sous peine de déchéance, dans un délai de 12 mois à compter du troisième jour ouvrable qui suit la date d’envoi de l’avertissement-extrait de rôle. </w:t>
      </w:r>
    </w:p>
    <w:p w14:paraId="2CD917B9"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7 : Clauses relatives au RGPD</w:t>
      </w:r>
    </w:p>
    <w:p w14:paraId="1F6FCFB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1F7FE869" w14:textId="77777777" w:rsidR="0022723E" w:rsidRPr="00C51D72" w:rsidRDefault="003C36C7">
      <w:pPr>
        <w:pStyle w:val="whP3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w:t>
      </w:r>
    </w:p>
    <w:p w14:paraId="0903CA95" w14:textId="77777777" w:rsidR="0022723E" w:rsidRPr="00C51D72" w:rsidRDefault="003C36C7">
      <w:pPr>
        <w:pStyle w:val="whP3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w:t>
      </w:r>
    </w:p>
    <w:p w14:paraId="717F5FB6" w14:textId="77777777" w:rsidR="0022723E" w:rsidRPr="00C51D72" w:rsidRDefault="003C36C7">
      <w:pPr>
        <w:pStyle w:val="whP3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directes, coordonnées de contact, caractéristiques personnelles, données financières et transactionnelles.</w:t>
      </w:r>
    </w:p>
    <w:p w14:paraId="3E87C20D" w14:textId="77777777" w:rsidR="0022723E" w:rsidRPr="00C51D72" w:rsidRDefault="003C36C7">
      <w:pPr>
        <w:pStyle w:val="whP3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suivant leurs instructions,</w:t>
      </w:r>
    </w:p>
    <w:p w14:paraId="792C4D27" w14:textId="77777777" w:rsidR="0022723E" w:rsidRPr="00C51D72" w:rsidRDefault="003C36C7">
      <w:pPr>
        <w:pStyle w:val="whP32pod"/>
        <w:rPr>
          <w:rFonts w:ascii="Times New Roman" w:hAnsi="Times New Roman" w:cs="Times New Roman"/>
          <w:sz w:val="22"/>
          <w:szCs w:val="22"/>
        </w:rPr>
      </w:pPr>
      <w:r w:rsidRPr="00C51D72">
        <w:rPr>
          <w:rFonts w:ascii="Times New Roman" w:hAnsi="Times New Roman" w:cs="Times New Roman"/>
          <w:sz w:val="22"/>
          <w:szCs w:val="22"/>
        </w:rPr>
        <w:t>•     Méthode de collecte : Constatation par les agents constateurs, identification du bien par le cadastre.</w:t>
      </w:r>
    </w:p>
    <w:p w14:paraId="0754AA78" w14:textId="466CC4D0" w:rsidR="0022723E" w:rsidRPr="00C51D72" w:rsidRDefault="003C36C7" w:rsidP="003410F7">
      <w:pPr>
        <w:pStyle w:val="whP3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561C6DFF"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8 : Tutelle</w:t>
      </w:r>
    </w:p>
    <w:p w14:paraId="7ECAA87C" w14:textId="55C72D6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présent règlement sera transmis au Gouvernement Wallon pour exercice de la tutelle spéciale d’approbation conformément aux articles L3131-1 et suivants du Code de la Démocratie Locale et de la Décentralisation. </w:t>
      </w:r>
    </w:p>
    <w:p w14:paraId="3FAEA8A3"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9 : Entrée en vigueur</w:t>
      </w:r>
    </w:p>
    <w:p w14:paraId="7EC6568F" w14:textId="2F787B3D" w:rsidR="0022723E" w:rsidRPr="00C51D72" w:rsidRDefault="003C36C7" w:rsidP="003410F7">
      <w:pPr>
        <w:pStyle w:val="whP2pod"/>
        <w:rPr>
          <w:rFonts w:ascii="Times New Roman" w:hAnsi="Times New Roman" w:cs="Times New Roman"/>
          <w:color w:val="000000"/>
          <w:sz w:val="22"/>
          <w:szCs w:val="22"/>
        </w:rPr>
      </w:pPr>
      <w:r w:rsidRPr="00C51D72">
        <w:rPr>
          <w:rFonts w:ascii="Times New Roman" w:hAnsi="Times New Roman" w:cs="Times New Roman"/>
          <w:sz w:val="22"/>
          <w:szCs w:val="22"/>
        </w:rPr>
        <w:t>Le présent règlement entre en vigueur le cinquième jour qui suit celui de sa publication conformément aux articles L1133-1 et L1133-2 du Code de la Démocratie Locale et de la Décentralisation.</w:t>
      </w:r>
    </w:p>
    <w:p w14:paraId="19F3A03E"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2571A67" w14:textId="77777777" w:rsidR="0022723E" w:rsidRPr="00C51D72" w:rsidRDefault="003C36C7">
      <w:pPr>
        <w:pStyle w:val="Titre2"/>
        <w:tabs>
          <w:tab w:val="left" w:pos="1020"/>
        </w:tabs>
        <w:spacing w:before="0" w:after="113"/>
        <w:ind w:left="510" w:hanging="510"/>
        <w:jc w:val="both"/>
        <w:rPr>
          <w:rFonts w:cs="Times New Roman"/>
          <w:szCs w:val="22"/>
        </w:rPr>
      </w:pPr>
      <w:bookmarkStart w:id="21" w:name="__RefHeading___Toc1768_349934923621"/>
      <w:bookmarkEnd w:id="21"/>
      <w:r w:rsidRPr="00C51D72">
        <w:rPr>
          <w:rFonts w:cs="Times New Roman"/>
          <w:color w:val="000000"/>
          <w:szCs w:val="22"/>
          <w:u w:val="none"/>
        </w:rPr>
        <w:t>22.</w:t>
      </w:r>
      <w:r w:rsidRPr="00C51D72">
        <w:rPr>
          <w:rFonts w:cs="Times New Roman"/>
          <w:color w:val="000000"/>
          <w:szCs w:val="22"/>
          <w:u w:val="none"/>
        </w:rPr>
        <w:tab/>
      </w:r>
      <w:r w:rsidRPr="00C51D72">
        <w:rPr>
          <w:rFonts w:cs="Times New Roman"/>
          <w:caps/>
          <w:color w:val="000000"/>
          <w:szCs w:val="22"/>
        </w:rPr>
        <w:t>TAXE SUR LES VÉHICULES ISOLÉS ABANDONNÉS – EXERCICES 2026 À 2031.</w:t>
      </w:r>
    </w:p>
    <w:p w14:paraId="529CBDE1"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7D01C7DD" w14:textId="3C1CB22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41,162 et 170 § 4 ; </w:t>
      </w:r>
    </w:p>
    <w:p w14:paraId="42DE2F92" w14:textId="33EC01C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38ADA0FD" w14:textId="000BEC5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L3321-1 à 12 ; </w:t>
      </w:r>
    </w:p>
    <w:p w14:paraId="13E27B3A" w14:textId="64763A9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taxes communales ; </w:t>
      </w:r>
    </w:p>
    <w:p w14:paraId="38F88A26" w14:textId="26B2982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5E56FDF6" w14:textId="2C84343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L1124-40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3°et 4° du Code de la démocratie locale et de la décentralisation ; </w:t>
      </w:r>
    </w:p>
    <w:p w14:paraId="6BA32014" w14:textId="66D2E05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en date du 03 novembre 2025 et joint en annexe ; </w:t>
      </w:r>
    </w:p>
    <w:p w14:paraId="1F54A92C" w14:textId="42F6423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la commune doit se doter des moyens nécessaires afin d’assurer l’exercice de sa mission de service public ; </w:t>
      </w:r>
    </w:p>
    <w:p w14:paraId="04153BC7" w14:textId="7C56866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3080B0A3" w14:textId="1E6E07A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w:t>
      </w:r>
    </w:p>
    <w:p w14:paraId="62669C13" w14:textId="7E27CE4E"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w:t>
      </w:r>
    </w:p>
    <w:p w14:paraId="2CA0A9B7" w14:textId="58227B39"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 xml:space="preserve">DÉCIDE : </w:t>
      </w:r>
      <w:r w:rsidRPr="003410F7">
        <w:rPr>
          <w:rFonts w:ascii="Times New Roman" w:hAnsi="Times New Roman" w:cs="Times New Roman"/>
          <w:b/>
          <w:bCs/>
          <w:sz w:val="22"/>
          <w:szCs w:val="22"/>
        </w:rPr>
        <w:t> </w:t>
      </w:r>
    </w:p>
    <w:p w14:paraId="2A9B8C27" w14:textId="77777777"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1</w:t>
      </w:r>
      <w:r w:rsidRPr="003410F7">
        <w:rPr>
          <w:rStyle w:val="whP19pod"/>
          <w:rFonts w:ascii="Times New Roman" w:hAnsi="Times New Roman" w:cs="Times New Roman"/>
          <w:b/>
          <w:bCs/>
          <w:sz w:val="22"/>
          <w:szCs w:val="22"/>
        </w:rPr>
        <w:t>er</w:t>
      </w:r>
      <w:r w:rsidRPr="00C51D72">
        <w:rPr>
          <w:rStyle w:val="whP21pod"/>
          <w:rFonts w:ascii="Times New Roman" w:hAnsi="Times New Roman" w:cs="Times New Roman"/>
          <w:sz w:val="22"/>
          <w:szCs w:val="22"/>
        </w:rPr>
        <w:t xml:space="preserve">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Il est établi, pour les exercices 2026 à 2031 inclus, une taxe communale annuelle sur les véhicules isolés abandonnés.</w:t>
      </w:r>
    </w:p>
    <w:p w14:paraId="714B87BD" w14:textId="3DDE215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Par véhicule abandonné, on entend tout véhicule destiné au transport de personnes et/ou de biens qui n'est plus en état d'être déplacé par sa propre force motrice ou qui ne dispose pas d’un certificat de contrôle technique en cours de </w:t>
      </w:r>
      <w:r w:rsidRPr="00C51D72">
        <w:rPr>
          <w:rFonts w:ascii="Times New Roman" w:hAnsi="Times New Roman" w:cs="Times New Roman"/>
          <w:sz w:val="22"/>
          <w:szCs w:val="22"/>
        </w:rPr>
        <w:lastRenderedPageBreak/>
        <w:t>validité lui permettant de circuler, qu'il soit visible ou non de la voie publique et recouverte ou non d'une bâche ou de tout autre moyen similaire de couverture. </w:t>
      </w:r>
    </w:p>
    <w:p w14:paraId="093B3125" w14:textId="0DB19BBD"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2</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La taxe est due par le propriétaire du véhicule. Le propriétaire du terrain sur lequel le véhicule est abandonné est codébiteur de la taxe. </w:t>
      </w:r>
    </w:p>
    <w:p w14:paraId="281E02DF" w14:textId="71B05DAD"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3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 xml:space="preserve">La taxe est fixée à </w:t>
      </w:r>
      <w:r w:rsidRPr="003410F7">
        <w:rPr>
          <w:rStyle w:val="whP3pod"/>
          <w:rFonts w:ascii="Times New Roman" w:hAnsi="Times New Roman" w:cs="Times New Roman"/>
          <w:b w:val="0"/>
          <w:bCs/>
          <w:sz w:val="22"/>
          <w:szCs w:val="22"/>
        </w:rPr>
        <w:t>600 euros</w:t>
      </w:r>
      <w:r w:rsidRPr="00C51D72">
        <w:rPr>
          <w:rFonts w:ascii="Times New Roman" w:hAnsi="Times New Roman" w:cs="Times New Roman"/>
          <w:sz w:val="22"/>
          <w:szCs w:val="22"/>
        </w:rPr>
        <w:t xml:space="preserve"> par véhicule isolé abandonné. </w:t>
      </w:r>
    </w:p>
    <w:p w14:paraId="7C57974C" w14:textId="1606A2A5"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4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La taxe est perçue par voie de rôle et est payable dans les deux mois de l’envoi de l'avertissement extrait de rôle. </w:t>
      </w:r>
    </w:p>
    <w:p w14:paraId="47543D50"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 xml:space="preserve">Article 5 </w:t>
      </w:r>
      <w:r w:rsidRPr="003410F7">
        <w:rPr>
          <w:rStyle w:val="whP6pod"/>
          <w:rFonts w:ascii="Times New Roman" w:hAnsi="Times New Roman" w:cs="Times New Roman"/>
          <w:b/>
          <w:bCs/>
          <w:sz w:val="22"/>
          <w:szCs w:val="22"/>
        </w:rPr>
        <w:t>–</w:t>
      </w:r>
      <w:r w:rsidRPr="00C51D72">
        <w:rPr>
          <w:rFonts w:ascii="Times New Roman" w:hAnsi="Times New Roman" w:cs="Times New Roman"/>
          <w:sz w:val="22"/>
          <w:szCs w:val="22"/>
        </w:rPr>
        <w:t xml:space="preserve"> En cas de non-paiement de la taxe à l'échéance fixée à l'article 4, conformément à l’article L3321-8bis du Code de la démocratie locale et de la décentralisation, une sommation de payer sera envoyée au contribuable.</w:t>
      </w:r>
    </w:p>
    <w:p w14:paraId="590C083E" w14:textId="179A63E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sommation de payer se fera par courrier recommandé et les frais postaux de cet envoi seront à charge du redevable. Ces frais seront recouvrés de la même manière que la taxe à laquelle ils se rapportent. </w:t>
      </w:r>
    </w:p>
    <w:p w14:paraId="021CC356" w14:textId="18F6F467"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6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247E78CF"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7 -</w:t>
      </w:r>
      <w:r w:rsidRPr="00C51D72">
        <w:rPr>
          <w:rStyle w:val="whP20pod"/>
          <w:rFonts w:ascii="Times New Roman" w:hAnsi="Times New Roman" w:cs="Times New Roman"/>
          <w:sz w:val="22"/>
          <w:szCs w:val="22"/>
        </w:rPr>
        <w:t xml:space="preserve"> </w:t>
      </w: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22ED6A61"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Responsable de traitement : la commune/ville de  Remicourt ;</w:t>
      </w:r>
    </w:p>
    <w:p w14:paraId="0916D92B"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 ;</w:t>
      </w:r>
    </w:p>
    <w:p w14:paraId="4C95F680"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301E68F6"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et à les supprimer par la suite ou à les transférer aux archives de l’Etat selon les instructions reçues de cette administration ;</w:t>
      </w:r>
    </w:p>
    <w:p w14:paraId="19AD84C1"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67DD2A65" w14:textId="550ACD56" w:rsidR="0022723E" w:rsidRPr="00C51D72" w:rsidRDefault="003C36C7" w:rsidP="003410F7">
      <w:pPr>
        <w:pStyle w:val="whP26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4F6884D4" w14:textId="77777777" w:rsidR="003410F7" w:rsidRDefault="003C36C7" w:rsidP="003410F7">
      <w:pPr>
        <w:pStyle w:val="whP33pod"/>
        <w:ind w:hanging="1206"/>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8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sera transmis au Gouvernement wallon conformément aux articles L3131-1 et</w:t>
      </w:r>
    </w:p>
    <w:p w14:paraId="48C5BD46" w14:textId="2C40DCEF" w:rsidR="0022723E" w:rsidRPr="00C51D72" w:rsidRDefault="003C36C7" w:rsidP="003410F7">
      <w:pPr>
        <w:pStyle w:val="whP33pod"/>
        <w:ind w:hanging="1206"/>
        <w:rPr>
          <w:rFonts w:ascii="Times New Roman" w:hAnsi="Times New Roman" w:cs="Times New Roman"/>
          <w:sz w:val="22"/>
          <w:szCs w:val="22"/>
        </w:rPr>
      </w:pPr>
      <w:r w:rsidRPr="00C51D72">
        <w:rPr>
          <w:rFonts w:ascii="Times New Roman" w:hAnsi="Times New Roman" w:cs="Times New Roman"/>
          <w:sz w:val="22"/>
          <w:szCs w:val="22"/>
        </w:rPr>
        <w:t>suivants</w:t>
      </w:r>
      <w:r w:rsidR="003410F7">
        <w:rPr>
          <w:rFonts w:ascii="Times New Roman" w:hAnsi="Times New Roman" w:cs="Times New Roman"/>
          <w:sz w:val="22"/>
          <w:szCs w:val="22"/>
        </w:rPr>
        <w:t xml:space="preserve"> </w:t>
      </w:r>
      <w:r w:rsidRPr="00C51D72">
        <w:rPr>
          <w:rFonts w:ascii="Times New Roman" w:hAnsi="Times New Roman" w:cs="Times New Roman"/>
          <w:sz w:val="22"/>
          <w:szCs w:val="22"/>
        </w:rPr>
        <w:t>du Code de la démocratie locale et de la décentralisation pour exercice de la tutelle spéciale d’approbation. </w:t>
      </w:r>
    </w:p>
    <w:p w14:paraId="26C3E9CC" w14:textId="7A105B89" w:rsidR="0022723E" w:rsidRPr="00C51D72" w:rsidRDefault="003C36C7" w:rsidP="003410F7">
      <w:pPr>
        <w:pStyle w:val="whP2pod"/>
        <w:rPr>
          <w:rFonts w:ascii="Times New Roman" w:hAnsi="Times New Roman" w:cs="Times New Roman"/>
          <w:color w:val="000000"/>
          <w:sz w:val="22"/>
          <w:szCs w:val="22"/>
        </w:rPr>
      </w:pPr>
      <w:r w:rsidRPr="003410F7">
        <w:rPr>
          <w:rStyle w:val="whP21pod"/>
          <w:rFonts w:ascii="Times New Roman" w:hAnsi="Times New Roman" w:cs="Times New Roman"/>
          <w:b w:val="0"/>
          <w:bCs/>
          <w:sz w:val="22"/>
          <w:szCs w:val="22"/>
        </w:rPr>
        <w:t>Article 9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entrera en vigueur après accomplissement des formalités de la publication faites conformément aux articles L1133-1 et 2 du Code de la démocratie locale et de la décentralisation.</w:t>
      </w:r>
    </w:p>
    <w:p w14:paraId="44ED04BC"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53DB8107" w14:textId="77777777" w:rsidR="0022723E" w:rsidRPr="00C51D72" w:rsidRDefault="003C36C7">
      <w:pPr>
        <w:pStyle w:val="Titre2"/>
        <w:tabs>
          <w:tab w:val="left" w:pos="1020"/>
        </w:tabs>
        <w:spacing w:before="0" w:after="113"/>
        <w:ind w:left="510" w:hanging="510"/>
        <w:jc w:val="both"/>
        <w:rPr>
          <w:rFonts w:cs="Times New Roman"/>
          <w:szCs w:val="22"/>
        </w:rPr>
      </w:pPr>
      <w:bookmarkStart w:id="22" w:name="__RefHeading___Toc1768_349934923622"/>
      <w:bookmarkEnd w:id="22"/>
      <w:r w:rsidRPr="00C51D72">
        <w:rPr>
          <w:rFonts w:cs="Times New Roman"/>
          <w:color w:val="000000"/>
          <w:szCs w:val="22"/>
          <w:u w:val="none"/>
        </w:rPr>
        <w:t>23.</w:t>
      </w:r>
      <w:r w:rsidRPr="00C51D72">
        <w:rPr>
          <w:rFonts w:cs="Times New Roman"/>
          <w:color w:val="000000"/>
          <w:szCs w:val="22"/>
          <w:u w:val="none"/>
        </w:rPr>
        <w:tab/>
      </w:r>
      <w:r w:rsidRPr="00C51D72">
        <w:rPr>
          <w:rFonts w:cs="Times New Roman"/>
          <w:caps/>
          <w:color w:val="000000"/>
          <w:szCs w:val="22"/>
        </w:rPr>
        <w:t>TAXE SUR LES DÉPÔTS DE MITRAILLES ET DE VÉHICULES USAGÉS – EXERCICES 2026 À 2031.</w:t>
      </w:r>
    </w:p>
    <w:p w14:paraId="26F1D67E"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F27C8F0" w14:textId="60947E8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 4 ; </w:t>
      </w:r>
    </w:p>
    <w:p w14:paraId="18C7C6E1" w14:textId="3BC78A5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0A0A8E19" w14:textId="7113F2E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L3321-1 à 12 ; </w:t>
      </w:r>
    </w:p>
    <w:p w14:paraId="7F2D12DE" w14:textId="2559FE4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taxes communales ; </w:t>
      </w:r>
    </w:p>
    <w:p w14:paraId="69ACDCE6" w14:textId="087BCCF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421FDC2F" w14:textId="1073194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L1124-40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xml:space="preserve"> , 3°et 4° du Code de la démocratie locale et de la décentralisation ; </w:t>
      </w:r>
    </w:p>
    <w:p w14:paraId="78D13CC4" w14:textId="2A9D110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en date du 03 novembre 2025 et joint en annexe ; </w:t>
      </w:r>
    </w:p>
    <w:p w14:paraId="598BB06E" w14:textId="66A2424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la commune doit se doter des moyens nécessaires afin d’assurer l’exercice de sa mission de service public ; </w:t>
      </w:r>
    </w:p>
    <w:p w14:paraId="0EE93CD4" w14:textId="79D4B13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w:t>
      </w:r>
    </w:p>
    <w:p w14:paraId="40B9ADF8" w14:textId="6F9FA9F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w:t>
      </w:r>
    </w:p>
    <w:p w14:paraId="614FBA01" w14:textId="5B48C6BE"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w:t>
      </w:r>
    </w:p>
    <w:p w14:paraId="69E06238" w14:textId="11FD48A8"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 xml:space="preserve">DÉCIDE : </w:t>
      </w:r>
      <w:r w:rsidRPr="003410F7">
        <w:rPr>
          <w:rFonts w:ascii="Times New Roman" w:hAnsi="Times New Roman" w:cs="Times New Roman"/>
          <w:b/>
          <w:bCs/>
          <w:sz w:val="22"/>
          <w:szCs w:val="22"/>
        </w:rPr>
        <w:t> </w:t>
      </w:r>
    </w:p>
    <w:p w14:paraId="0523BF99" w14:textId="3CD92282"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1</w:t>
      </w:r>
      <w:r w:rsidRPr="003410F7">
        <w:rPr>
          <w:rStyle w:val="whP19pod"/>
          <w:rFonts w:ascii="Times New Roman" w:hAnsi="Times New Roman" w:cs="Times New Roman"/>
          <w:b/>
          <w:bCs/>
          <w:sz w:val="22"/>
          <w:szCs w:val="22"/>
        </w:rPr>
        <w:t>er</w:t>
      </w:r>
      <w:r w:rsidRPr="00C51D72">
        <w:rPr>
          <w:rStyle w:val="whP21pod"/>
          <w:rFonts w:ascii="Times New Roman" w:hAnsi="Times New Roman" w:cs="Times New Roman"/>
          <w:sz w:val="22"/>
          <w:szCs w:val="22"/>
        </w:rPr>
        <w:t xml:space="preserve">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Il est établi, pour les exercices 2026 à 2031 inclus, une taxe communale annuelle sur les dépôts de mitrailles et/ou de véhicules usagés. </w:t>
      </w:r>
    </w:p>
    <w:p w14:paraId="2E0BEFDB" w14:textId="710DA805"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2</w:t>
      </w:r>
      <w:r w:rsidRPr="003410F7">
        <w:rPr>
          <w:rStyle w:val="whP6pod"/>
          <w:rFonts w:ascii="Times New Roman" w:hAnsi="Times New Roman" w:cs="Times New Roman"/>
          <w:b/>
          <w:bCs/>
          <w:sz w:val="22"/>
          <w:szCs w:val="22"/>
        </w:rPr>
        <w:t xml:space="preserve"> –</w:t>
      </w:r>
      <w:r w:rsidRPr="00C51D72">
        <w:rPr>
          <w:rFonts w:ascii="Times New Roman" w:hAnsi="Times New Roman" w:cs="Times New Roman"/>
          <w:sz w:val="22"/>
          <w:szCs w:val="22"/>
        </w:rPr>
        <w:t xml:space="preserve"> La taxe est due par l'exploitant du ou des dépôt(s) de mitrailles et/ou de véhicules usagés ; le propriétaire du ou des terrain(s) est codébiteur de la taxe dont objet. </w:t>
      </w:r>
    </w:p>
    <w:p w14:paraId="095A0711" w14:textId="33F3BD01"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3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La taxe est fixée à 10,00 euros par mètre carré ou fraction de mètre carré de superficie destinée à l'exploitation du dépôt de mitrailles et/ou de véhicules usagés, avec un maximum de 5000,00 euros par installation. </w:t>
      </w:r>
    </w:p>
    <w:p w14:paraId="5DCDD451"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4</w:t>
      </w:r>
      <w:r w:rsidRPr="00C51D72">
        <w:rPr>
          <w:rStyle w:val="whP5pod"/>
          <w:rFonts w:ascii="Times New Roman" w:hAnsi="Times New Roman" w:cs="Times New Roman"/>
          <w:sz w:val="22"/>
          <w:szCs w:val="22"/>
        </w:rPr>
        <w:t xml:space="preserve"> –</w:t>
      </w:r>
      <w:r w:rsidRPr="00C51D72">
        <w:rPr>
          <w:rStyle w:val="whP6pod"/>
          <w:rFonts w:ascii="Times New Roman" w:hAnsi="Times New Roman" w:cs="Times New Roman"/>
          <w:sz w:val="22"/>
          <w:szCs w:val="22"/>
        </w:rPr>
        <w:t xml:space="preserve"> </w:t>
      </w:r>
      <w:r w:rsidRPr="00C51D72">
        <w:rPr>
          <w:rFonts w:ascii="Times New Roman" w:hAnsi="Times New Roman" w:cs="Times New Roman"/>
          <w:sz w:val="22"/>
          <w:szCs w:val="22"/>
        </w:rPr>
        <w:t>La taxe est perçue par voie de rôle et est payable dans les deux mois de l’envoi de l'avertissement extrait de rôle.</w:t>
      </w:r>
    </w:p>
    <w:p w14:paraId="3C5709A8"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721A50E3"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lastRenderedPageBreak/>
        <w:t>Article 5</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En cas de non-paiement de la taxe à l'échéance fixée à l'article 4, conformément à l’article L3321-8bis du Code de la démocratie locale et de la décentralisation, une sommation de payer sera envoyée au contribuable.</w:t>
      </w:r>
    </w:p>
    <w:p w14:paraId="294C78B7" w14:textId="28A6AC8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Cette sommation de payer se fera par courrier recommandé et les frais postaux de cet envoi seront à charge du redevable. Ces frais seront recouvrés de la même manière que la taxe à laquelle ils se rapportent. </w:t>
      </w:r>
    </w:p>
    <w:p w14:paraId="75BFCC7C"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6</w:t>
      </w:r>
      <w:r w:rsidRPr="003410F7">
        <w:rPr>
          <w:rStyle w:val="whP5pod"/>
          <w:rFonts w:ascii="Times New Roman" w:hAnsi="Times New Roman" w:cs="Times New Roman"/>
          <w:b w:val="0"/>
          <w:bCs/>
          <w:sz w:val="22"/>
          <w:szCs w:val="22"/>
        </w:rPr>
        <w:t xml:space="preserve"> –</w:t>
      </w:r>
      <w:r w:rsidRPr="00C51D72">
        <w:rPr>
          <w:rFonts w:ascii="Times New Roman" w:hAnsi="Times New Roman" w:cs="Times New Roman"/>
          <w:sz w:val="22"/>
          <w:szCs w:val="22"/>
        </w:rPr>
        <w:t xml:space="preserve"> Tout contribuable est tenu de faire parvenir au plus tard le 1</w:t>
      </w:r>
      <w:r w:rsidRPr="00C51D72">
        <w:rPr>
          <w:rStyle w:val="whP19pod"/>
          <w:rFonts w:ascii="Times New Roman" w:hAnsi="Times New Roman" w:cs="Times New Roman"/>
          <w:sz w:val="22"/>
          <w:szCs w:val="22"/>
        </w:rPr>
        <w:t>er</w:t>
      </w:r>
      <w:r w:rsidRPr="00C51D72">
        <w:rPr>
          <w:rFonts w:ascii="Times New Roman" w:hAnsi="Times New Roman" w:cs="Times New Roman"/>
          <w:sz w:val="22"/>
          <w:szCs w:val="22"/>
        </w:rPr>
        <w:t xml:space="preserve"> mars, à l'Administration communale, une déclaration signée contenant tous les renseignements nécessaires à la taxation.</w:t>
      </w:r>
    </w:p>
    <w:p w14:paraId="5A14A03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déclaration faite durant la période de validité d’un règlement antérieur au présent règlement garde toute sa validité. Il n’est donc pas nécessaire de refaire la déclaration en se basant sur les dispositions du présent règlement.</w:t>
      </w:r>
    </w:p>
    <w:p w14:paraId="6454334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Conformément à l’article L3321-6 du Code de la démocratie locale et de la décentralisation, la non-déclaration dans les délais prévus, la déclaration incorrecte, incomplète ou imprécise entraîne l'enrôlement d'office de la taxe.</w:t>
      </w:r>
    </w:p>
    <w:p w14:paraId="0D4012F2" w14:textId="4C98F289" w:rsidR="0022723E" w:rsidRPr="00C51D72" w:rsidRDefault="003410F7">
      <w:pPr>
        <w:pStyle w:val="whP34pod"/>
        <w:rPr>
          <w:rFonts w:ascii="Times New Roman" w:hAnsi="Times New Roman" w:cs="Times New Roman"/>
          <w:sz w:val="22"/>
          <w:szCs w:val="22"/>
        </w:rPr>
      </w:pPr>
      <w:r>
        <w:rPr>
          <w:rFonts w:ascii="Times New Roman" w:hAnsi="Times New Roman" w:cs="Times New Roman"/>
          <w:sz w:val="22"/>
          <w:szCs w:val="22"/>
        </w:rPr>
        <w:t xml:space="preserve">   </w:t>
      </w:r>
      <w:r w:rsidR="003C36C7" w:rsidRPr="00C51D72">
        <w:rPr>
          <w:rFonts w:ascii="Times New Roman" w:hAnsi="Times New Roman" w:cs="Times New Roman"/>
          <w:sz w:val="22"/>
          <w:szCs w:val="22"/>
        </w:rPr>
        <w:t>Les taxes enrôlées d'office sont majorées selon une échelle dont les graduations sont les suivantes :</w:t>
      </w:r>
    </w:p>
    <w:p w14:paraId="6E2393D2" w14:textId="77777777" w:rsidR="0022723E" w:rsidRPr="00C51D72" w:rsidRDefault="003C36C7">
      <w:pPr>
        <w:pStyle w:val="whP14pod"/>
        <w:numPr>
          <w:ilvl w:val="0"/>
          <w:numId w:val="3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10 pour cent pour le 1er enrôlement d'office</w:t>
      </w:r>
    </w:p>
    <w:p w14:paraId="65EACB2F" w14:textId="77777777" w:rsidR="0022723E" w:rsidRPr="00C51D72" w:rsidRDefault="003C36C7">
      <w:pPr>
        <w:pStyle w:val="whP14pod"/>
        <w:numPr>
          <w:ilvl w:val="0"/>
          <w:numId w:val="3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50 pour cent pour le 2</w:t>
      </w:r>
      <w:r w:rsidRPr="00C51D72">
        <w:rPr>
          <w:rStyle w:val="whP19pod"/>
          <w:rFonts w:ascii="Times New Roman" w:hAnsi="Times New Roman" w:cs="Times New Roman"/>
          <w:sz w:val="22"/>
          <w:szCs w:val="22"/>
        </w:rPr>
        <w:t>ème</w:t>
      </w:r>
      <w:r w:rsidRPr="00C51D72">
        <w:rPr>
          <w:rFonts w:ascii="Times New Roman" w:hAnsi="Times New Roman" w:cs="Times New Roman"/>
          <w:sz w:val="22"/>
          <w:szCs w:val="22"/>
        </w:rPr>
        <w:t xml:space="preserve"> enrôlement d'office</w:t>
      </w:r>
    </w:p>
    <w:p w14:paraId="7B81B97D" w14:textId="77777777" w:rsidR="0022723E" w:rsidRPr="00C51D72" w:rsidRDefault="003C36C7">
      <w:pPr>
        <w:pStyle w:val="whP14pod"/>
        <w:numPr>
          <w:ilvl w:val="0"/>
          <w:numId w:val="3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100 pour cent pour le 3</w:t>
      </w:r>
      <w:r w:rsidRPr="00C51D72">
        <w:rPr>
          <w:rStyle w:val="whP19pod"/>
          <w:rFonts w:ascii="Times New Roman" w:hAnsi="Times New Roman" w:cs="Times New Roman"/>
          <w:sz w:val="22"/>
          <w:szCs w:val="22"/>
        </w:rPr>
        <w:t>ème</w:t>
      </w:r>
      <w:r w:rsidRPr="00C51D72">
        <w:rPr>
          <w:rFonts w:ascii="Times New Roman" w:hAnsi="Times New Roman" w:cs="Times New Roman"/>
          <w:sz w:val="22"/>
          <w:szCs w:val="22"/>
        </w:rPr>
        <w:t xml:space="preserve"> enrôlement d'office</w:t>
      </w:r>
    </w:p>
    <w:p w14:paraId="3AB5F46F" w14:textId="77777777" w:rsidR="0022723E" w:rsidRPr="00C51D72" w:rsidRDefault="003C36C7">
      <w:pPr>
        <w:pStyle w:val="whP14pod"/>
        <w:numPr>
          <w:ilvl w:val="0"/>
          <w:numId w:val="38"/>
        </w:numPr>
        <w:tabs>
          <w:tab w:val="left" w:pos="922"/>
        </w:tabs>
        <w:rPr>
          <w:rFonts w:ascii="Times New Roman" w:hAnsi="Times New Roman" w:cs="Times New Roman"/>
          <w:sz w:val="22"/>
          <w:szCs w:val="22"/>
        </w:rPr>
      </w:pPr>
      <w:r w:rsidRPr="00C51D72">
        <w:rPr>
          <w:rFonts w:ascii="Times New Roman" w:hAnsi="Times New Roman" w:cs="Times New Roman"/>
          <w:sz w:val="22"/>
          <w:szCs w:val="22"/>
        </w:rPr>
        <w:t>200 pour cent à partir du 4</w:t>
      </w:r>
      <w:r w:rsidRPr="00C51D72">
        <w:rPr>
          <w:rStyle w:val="whP19pod"/>
          <w:rFonts w:ascii="Times New Roman" w:hAnsi="Times New Roman" w:cs="Times New Roman"/>
          <w:sz w:val="22"/>
          <w:szCs w:val="22"/>
        </w:rPr>
        <w:t>ème</w:t>
      </w:r>
      <w:r w:rsidRPr="00C51D72">
        <w:rPr>
          <w:rFonts w:ascii="Times New Roman" w:hAnsi="Times New Roman" w:cs="Times New Roman"/>
          <w:sz w:val="22"/>
          <w:szCs w:val="22"/>
        </w:rPr>
        <w:t xml:space="preserve"> enrôlement d'office</w:t>
      </w:r>
    </w:p>
    <w:p w14:paraId="716F2242" w14:textId="77777777" w:rsidR="0022723E" w:rsidRPr="003410F7" w:rsidRDefault="003C36C7">
      <w:pPr>
        <w:pStyle w:val="whP2pod"/>
        <w:rPr>
          <w:rFonts w:ascii="Times New Roman" w:hAnsi="Times New Roman" w:cs="Times New Roman"/>
          <w:bCs/>
          <w:sz w:val="22"/>
          <w:szCs w:val="22"/>
        </w:rPr>
      </w:pPr>
      <w:r w:rsidRPr="003410F7">
        <w:rPr>
          <w:rStyle w:val="whP3pod"/>
          <w:rFonts w:ascii="Times New Roman" w:hAnsi="Times New Roman" w:cs="Times New Roman"/>
          <w:b w:val="0"/>
          <w:bCs/>
          <w:sz w:val="22"/>
          <w:szCs w:val="22"/>
        </w:rPr>
        <w:t>En cas de première infraction commise de bonne foi, aucune majoration ne sera due.</w:t>
      </w:r>
    </w:p>
    <w:p w14:paraId="357631D7" w14:textId="0AD4557F" w:rsidR="0022723E" w:rsidRPr="00C51D72" w:rsidRDefault="003C36C7">
      <w:pPr>
        <w:pStyle w:val="whP2pod"/>
        <w:rPr>
          <w:rFonts w:ascii="Times New Roman" w:hAnsi="Times New Roman" w:cs="Times New Roman"/>
          <w:sz w:val="22"/>
          <w:szCs w:val="22"/>
        </w:rPr>
      </w:pPr>
      <w:r w:rsidRPr="003410F7">
        <w:rPr>
          <w:rFonts w:ascii="Times New Roman" w:hAnsi="Times New Roman" w:cs="Times New Roman"/>
          <w:bCs/>
          <w:sz w:val="22"/>
          <w:szCs w:val="22"/>
        </w:rPr>
        <w:t> </w:t>
      </w:r>
      <w:r w:rsidRPr="003410F7">
        <w:rPr>
          <w:rStyle w:val="whP20pod"/>
          <w:rFonts w:ascii="Times New Roman" w:hAnsi="Times New Roman" w:cs="Times New Roman"/>
          <w:b w:val="0"/>
          <w:bCs/>
          <w:sz w:val="22"/>
          <w:szCs w:val="22"/>
        </w:rPr>
        <w:t>Article 7</w:t>
      </w:r>
      <w:r w:rsidRPr="00C51D72">
        <w:rPr>
          <w:rStyle w:val="whP20pod"/>
          <w:rFonts w:ascii="Times New Roman" w:hAnsi="Times New Roman" w:cs="Times New Roman"/>
          <w:sz w:val="22"/>
          <w:szCs w:val="22"/>
        </w:rPr>
        <w:t xml:space="preserve"> –</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Pour la détermination de l’échelle à appliquer, il y a 2</w:t>
      </w:r>
      <w:r w:rsidRPr="00C51D72">
        <w:rPr>
          <w:rStyle w:val="whP19pod"/>
          <w:rFonts w:ascii="Times New Roman" w:hAnsi="Times New Roman" w:cs="Times New Roman"/>
          <w:sz w:val="22"/>
          <w:szCs w:val="22"/>
        </w:rPr>
        <w:t>ème</w:t>
      </w:r>
      <w:r w:rsidRPr="00C51D72">
        <w:rPr>
          <w:rFonts w:ascii="Times New Roman" w:hAnsi="Times New Roman" w:cs="Times New Roman"/>
          <w:sz w:val="22"/>
          <w:szCs w:val="22"/>
        </w:rPr>
        <w:t xml:space="preserve"> enrôlement ou enrôlement subséquent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14:paraId="1262D91A"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8 –</w:t>
      </w:r>
      <w:r w:rsidRPr="00C51D72">
        <w:rPr>
          <w:rStyle w:val="whP20pod"/>
          <w:rFonts w:ascii="Times New Roman" w:hAnsi="Times New Roman" w:cs="Times New Roman"/>
          <w:sz w:val="22"/>
          <w:szCs w:val="22"/>
        </w:rPr>
        <w:t> </w:t>
      </w:r>
      <w:r w:rsidRPr="00C51D72">
        <w:rPr>
          <w:rFonts w:ascii="Times New Roman" w:hAnsi="Times New Roman" w:cs="Times New Roman"/>
          <w:sz w:val="22"/>
          <w:szCs w:val="22"/>
        </w:rPr>
        <w:t>Pour apprécier la récurrence de la taxation, il y a lieu de remonter jusqu’au premier exercice fiscal au cours duquel la taxe a été établie, peu importe que les taxations se soient faites sur base de différents règlements qui se sont succédé au fil du temps.</w:t>
      </w:r>
    </w:p>
    <w:p w14:paraId="3B27FF69" w14:textId="0EE0A15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infractions antérieures sont négligées si aucune infraction en la matière n'est sanctionnée pour les trois derniers exercices d'imposition qui précèdent celui pour lequel la nouvelle infraction doit être pénalisée. </w:t>
      </w:r>
    </w:p>
    <w:p w14:paraId="6D00F15B" w14:textId="5A9A1C8F"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9</w:t>
      </w:r>
      <w:r w:rsidRPr="003410F7">
        <w:rPr>
          <w:rStyle w:val="whP6pod"/>
          <w:rFonts w:ascii="Times New Roman" w:hAnsi="Times New Roman" w:cs="Times New Roman"/>
          <w:b/>
          <w:bCs/>
          <w:sz w:val="22"/>
          <w:szCs w:val="22"/>
        </w:rPr>
        <w:t> –</w:t>
      </w:r>
      <w:r w:rsidRPr="00C51D72">
        <w:rPr>
          <w:rFonts w:ascii="Times New Roman" w:hAnsi="Times New Roman" w:cs="Times New Roman"/>
          <w:sz w:val="22"/>
          <w:szCs w:val="22"/>
        </w:rPr>
        <w:t xml:space="preserve">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58381A3B" w14:textId="77777777" w:rsidR="0022723E" w:rsidRPr="00C51D72" w:rsidRDefault="003C36C7">
      <w:pPr>
        <w:pStyle w:val="whP2pod"/>
        <w:rPr>
          <w:rFonts w:ascii="Times New Roman" w:hAnsi="Times New Roman" w:cs="Times New Roman"/>
          <w:sz w:val="22"/>
          <w:szCs w:val="22"/>
        </w:rPr>
      </w:pPr>
      <w:r w:rsidRPr="003410F7">
        <w:rPr>
          <w:rStyle w:val="whP20pod"/>
          <w:rFonts w:ascii="Times New Roman" w:hAnsi="Times New Roman" w:cs="Times New Roman"/>
          <w:b w:val="0"/>
          <w:bCs/>
          <w:sz w:val="22"/>
          <w:szCs w:val="22"/>
        </w:rPr>
        <w:t>Article 10 -</w:t>
      </w:r>
      <w:r w:rsidRPr="00C51D72">
        <w:rPr>
          <w:rStyle w:val="whP20pod"/>
          <w:rFonts w:ascii="Times New Roman" w:hAnsi="Times New Roman" w:cs="Times New Roman"/>
          <w:sz w:val="22"/>
          <w:szCs w:val="22"/>
        </w:rPr>
        <w:t xml:space="preserve"> </w:t>
      </w: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7B53321B"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41B62C7F"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 ;</w:t>
      </w:r>
    </w:p>
    <w:p w14:paraId="04D5D331" w14:textId="77777777" w:rsidR="0022723E" w:rsidRPr="00C51D72" w:rsidRDefault="003C36C7">
      <w:pPr>
        <w:pStyle w:val="whP25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1A13A41E"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et à les supprimer par la suite ou à les transférer aux archives de l’Etat selon les instructions reçues de cette administration ;</w:t>
      </w:r>
    </w:p>
    <w:p w14:paraId="7E8BD7E7" w14:textId="77777777" w:rsidR="0022723E" w:rsidRPr="00C51D72" w:rsidRDefault="003C36C7">
      <w:pPr>
        <w:pStyle w:val="whP26pod"/>
        <w:rPr>
          <w:rFonts w:ascii="Times New Roman" w:hAnsi="Times New Roman" w:cs="Times New Roman"/>
          <w:sz w:val="22"/>
          <w:szCs w:val="22"/>
        </w:rPr>
      </w:pPr>
      <w:r w:rsidRPr="00C51D72">
        <w:rPr>
          <w:rFonts w:ascii="Times New Roman" w:hAnsi="Times New Roman" w:cs="Times New Roman"/>
          <w:sz w:val="22"/>
          <w:szCs w:val="22"/>
        </w:rPr>
        <w:t>-   Méthode de collecte : déclaration des redevables ;</w:t>
      </w:r>
    </w:p>
    <w:p w14:paraId="1104F8AB" w14:textId="65467C41" w:rsidR="0022723E" w:rsidRPr="00C51D72" w:rsidRDefault="003C36C7" w:rsidP="003410F7">
      <w:pPr>
        <w:pStyle w:val="whP26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3846BF6B" w14:textId="5C19AF70" w:rsidR="0022723E" w:rsidRPr="00C51D72" w:rsidRDefault="003C36C7">
      <w:pPr>
        <w:pStyle w:val="whP2pod"/>
        <w:rPr>
          <w:rFonts w:ascii="Times New Roman" w:hAnsi="Times New Roman" w:cs="Times New Roman"/>
          <w:sz w:val="22"/>
          <w:szCs w:val="22"/>
        </w:rPr>
      </w:pPr>
      <w:r w:rsidRPr="003410F7">
        <w:rPr>
          <w:rStyle w:val="whP21pod"/>
          <w:rFonts w:ascii="Times New Roman" w:hAnsi="Times New Roman" w:cs="Times New Roman"/>
          <w:b w:val="0"/>
          <w:bCs/>
          <w:sz w:val="22"/>
          <w:szCs w:val="22"/>
        </w:rPr>
        <w:t>Article 11</w:t>
      </w:r>
      <w:r w:rsidRPr="00C51D72">
        <w:rPr>
          <w:rStyle w:val="whP21pod"/>
          <w:rFonts w:ascii="Times New Roman" w:hAnsi="Times New Roman" w:cs="Times New Roman"/>
          <w:sz w:val="22"/>
          <w:szCs w:val="22"/>
        </w:rPr>
        <w:t> </w:t>
      </w:r>
      <w:r w:rsidRPr="00C51D72">
        <w:rPr>
          <w:rStyle w:val="whP13pod"/>
          <w:rFonts w:ascii="Times New Roman" w:hAnsi="Times New Roman" w:cs="Times New Roman"/>
          <w:sz w:val="22"/>
          <w:szCs w:val="22"/>
        </w:rPr>
        <w:t>–</w:t>
      </w:r>
      <w:r w:rsidRPr="00C51D72">
        <w:rPr>
          <w:rFonts w:ascii="Times New Roman" w:hAnsi="Times New Roman" w:cs="Times New Roman"/>
          <w:sz w:val="22"/>
          <w:szCs w:val="22"/>
        </w:rPr>
        <w:t>Le présent règlement sera transmis au Gouvernement Wallon conformément aux articles L3131-1 et suivants du Code de la démocratie locale et de la décentralisation pour exercice de la tutelle spéciale d’approbation. </w:t>
      </w:r>
    </w:p>
    <w:p w14:paraId="4F9D937E" w14:textId="4F0D0771" w:rsidR="0022723E" w:rsidRPr="00C51D72" w:rsidRDefault="003C36C7" w:rsidP="003410F7">
      <w:pPr>
        <w:pStyle w:val="whP2pod"/>
        <w:rPr>
          <w:rFonts w:ascii="Times New Roman" w:hAnsi="Times New Roman" w:cs="Times New Roman"/>
          <w:color w:val="000000"/>
          <w:sz w:val="22"/>
          <w:szCs w:val="22"/>
        </w:rPr>
      </w:pPr>
      <w:r w:rsidRPr="003410F7">
        <w:rPr>
          <w:rStyle w:val="whP21pod"/>
          <w:rFonts w:ascii="Times New Roman" w:hAnsi="Times New Roman" w:cs="Times New Roman"/>
          <w:b w:val="0"/>
          <w:bCs/>
          <w:sz w:val="22"/>
          <w:szCs w:val="22"/>
        </w:rPr>
        <w:t>Article 12 –</w:t>
      </w:r>
      <w:r w:rsidRPr="00C51D72">
        <w:rPr>
          <w:rStyle w:val="whP13pod"/>
          <w:rFonts w:ascii="Times New Roman" w:hAnsi="Times New Roman" w:cs="Times New Roman"/>
          <w:sz w:val="22"/>
          <w:szCs w:val="22"/>
        </w:rPr>
        <w:t xml:space="preserve"> </w:t>
      </w:r>
      <w:r w:rsidRPr="00C51D72">
        <w:rPr>
          <w:rFonts w:ascii="Times New Roman" w:hAnsi="Times New Roman" w:cs="Times New Roman"/>
          <w:sz w:val="22"/>
          <w:szCs w:val="22"/>
        </w:rPr>
        <w:t>Le présent règlement entrera en vigueur après accomplissement des formalités de la publication faites conformément aux articles L1133-1 et 2 du Code de la démocratie locale et de la décentralisation.</w:t>
      </w:r>
    </w:p>
    <w:p w14:paraId="6B3018CB"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2F3423A6" w14:textId="77777777" w:rsidR="0022723E" w:rsidRPr="00C51D72" w:rsidRDefault="003C36C7">
      <w:pPr>
        <w:pStyle w:val="Titre2"/>
        <w:tabs>
          <w:tab w:val="left" w:pos="1020"/>
        </w:tabs>
        <w:spacing w:before="0" w:after="113"/>
        <w:ind w:left="510" w:hanging="510"/>
        <w:jc w:val="both"/>
        <w:rPr>
          <w:rFonts w:cs="Times New Roman"/>
          <w:szCs w:val="22"/>
        </w:rPr>
      </w:pPr>
      <w:bookmarkStart w:id="23" w:name="__RefHeading___Toc1768_349934923623"/>
      <w:bookmarkEnd w:id="23"/>
      <w:r w:rsidRPr="00C51D72">
        <w:rPr>
          <w:rFonts w:cs="Times New Roman"/>
          <w:color w:val="000000"/>
          <w:szCs w:val="22"/>
          <w:u w:val="none"/>
        </w:rPr>
        <w:t>24.</w:t>
      </w:r>
      <w:r w:rsidRPr="00C51D72">
        <w:rPr>
          <w:rFonts w:cs="Times New Roman"/>
          <w:color w:val="000000"/>
          <w:szCs w:val="22"/>
          <w:u w:val="none"/>
        </w:rPr>
        <w:tab/>
      </w:r>
      <w:r w:rsidRPr="00C51D72">
        <w:rPr>
          <w:rFonts w:cs="Times New Roman"/>
          <w:caps/>
          <w:color w:val="000000"/>
          <w:szCs w:val="22"/>
        </w:rPr>
        <w:t>REDEVANCE SUR LES SIGNAUX DE DIRECTION RÉALISÉS ET PLACÉS À LA DEMANDE D’UNE ENTREPRISE INDUSTRIELLE, COMMERCIALE OU CULTURELLE – EXERCICES 2026 A 2031.</w:t>
      </w:r>
    </w:p>
    <w:p w14:paraId="7E48738A"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4A5F093" w14:textId="41E3486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173 ; </w:t>
      </w:r>
    </w:p>
    <w:p w14:paraId="3EC6507F" w14:textId="475E574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entré en vigueur le 25 mai 2018 ; </w:t>
      </w:r>
    </w:p>
    <w:p w14:paraId="10E6D88B" w14:textId="0947759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4BB45E88" w14:textId="1578100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ses articles L1122-30 et L1124-40 ; </w:t>
      </w:r>
    </w:p>
    <w:p w14:paraId="23DCD4CF" w14:textId="3A0BD06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des redevances communales ; </w:t>
      </w:r>
    </w:p>
    <w:p w14:paraId="585B1B2F" w14:textId="72461265" w:rsidR="0022723E" w:rsidRPr="00C51D72" w:rsidRDefault="003C36C7" w:rsidP="003410F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Vu les recommandations émises par la circulaire du 11 septembre 2025 relative à l’élaboration des budgets des communes de la Région wallonne pour l’année 2026 ; </w:t>
      </w:r>
    </w:p>
    <w:p w14:paraId="3095BD31" w14:textId="053CA1E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qu’afin de standardiser toutes les plaques et signaux directionnels à caractère administratif, culturel, sportif ou commercial et de faire disparaître toute signalisation "sauvage" nuisant à la qualité de l’environnement, il convient que l’Administration Communale procède elle-même à la réalisation et à la mise en place de cette signalisation routière à caractère culturel, commercial et industriel ; </w:t>
      </w:r>
    </w:p>
    <w:p w14:paraId="260F54ED" w14:textId="021B11E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réalisation et la mise en place des signaux de direction sont exécutées au profit des entreprises industrielles, commerciales ou culturelles et qu’il s’indique de les appeler à contribution ; </w:t>
      </w:r>
    </w:p>
    <w:p w14:paraId="032E4475" w14:textId="63898FB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555A8326" w14:textId="2F5C764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 </w:t>
      </w:r>
    </w:p>
    <w:p w14:paraId="491A59C6" w14:textId="0932046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Que celui-ci a accusé réception du projet de règlement ainsi que du dossier y afférent en date du 29 octobre 2025 ; </w:t>
      </w:r>
    </w:p>
    <w:p w14:paraId="074A0590" w14:textId="5EE03E0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29EBCD0B" w14:textId="5BB9A05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0843ECE0" w14:textId="7B48E9BE"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w:t>
      </w:r>
    </w:p>
    <w:p w14:paraId="1275FC69" w14:textId="373C0A7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ces motifs ; </w:t>
      </w:r>
    </w:p>
    <w:p w14:paraId="4AC732C1" w14:textId="15698AF6"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ARRÊTE :</w:t>
      </w:r>
      <w:r w:rsidRPr="003410F7">
        <w:rPr>
          <w:rFonts w:ascii="Times New Roman" w:hAnsi="Times New Roman" w:cs="Times New Roman"/>
          <w:b/>
          <w:bCs/>
          <w:sz w:val="22"/>
          <w:szCs w:val="22"/>
        </w:rPr>
        <w:t> </w:t>
      </w:r>
    </w:p>
    <w:p w14:paraId="3E937058" w14:textId="0D04C727" w:rsidR="0022723E" w:rsidRPr="00C51D72" w:rsidRDefault="003C36C7">
      <w:pPr>
        <w:pStyle w:val="whP2pod"/>
        <w:rPr>
          <w:rFonts w:ascii="Times New Roman" w:hAnsi="Times New Roman" w:cs="Times New Roman"/>
          <w:sz w:val="22"/>
          <w:szCs w:val="22"/>
        </w:rPr>
      </w:pPr>
      <w:r w:rsidRPr="003410F7">
        <w:rPr>
          <w:rStyle w:val="whP1pod"/>
          <w:rFonts w:ascii="Times New Roman" w:hAnsi="Times New Roman" w:cs="Times New Roman"/>
          <w:b w:val="0"/>
          <w:bCs/>
          <w:sz w:val="22"/>
          <w:szCs w:val="22"/>
        </w:rPr>
        <w:t>Article 1</w:t>
      </w:r>
      <w:r w:rsidRPr="00C51D72">
        <w:rPr>
          <w:rStyle w:val="whP1pod"/>
          <w:rFonts w:ascii="Times New Roman" w:hAnsi="Times New Roman" w:cs="Times New Roman"/>
          <w:sz w:val="22"/>
          <w:szCs w:val="22"/>
        </w:rPr>
        <w:t xml:space="preserve"> </w:t>
      </w:r>
      <w:r w:rsidRPr="00C51D72">
        <w:rPr>
          <w:rFonts w:ascii="Times New Roman" w:hAnsi="Times New Roman" w:cs="Times New Roman"/>
          <w:sz w:val="22"/>
          <w:szCs w:val="22"/>
        </w:rPr>
        <w:t>: Il est établi, pour les exercices 2026 à 2031 inclus, une redevance communale sur les signaux de direction réalisés et placés par l’Administration Communale à la demande d’une entreprise industrielle, commerciale ou culturelle. </w:t>
      </w:r>
    </w:p>
    <w:p w14:paraId="593110FD" w14:textId="0B58D719" w:rsidR="0022723E" w:rsidRPr="00C51D72" w:rsidRDefault="003C36C7">
      <w:pPr>
        <w:pStyle w:val="whP2pod"/>
        <w:rPr>
          <w:rFonts w:ascii="Times New Roman" w:hAnsi="Times New Roman" w:cs="Times New Roman"/>
          <w:sz w:val="22"/>
          <w:szCs w:val="22"/>
        </w:rPr>
      </w:pPr>
      <w:r w:rsidRPr="003410F7">
        <w:rPr>
          <w:rStyle w:val="whP1pod"/>
          <w:rFonts w:ascii="Times New Roman" w:hAnsi="Times New Roman" w:cs="Times New Roman"/>
          <w:b w:val="0"/>
          <w:bCs/>
          <w:sz w:val="22"/>
          <w:szCs w:val="22"/>
        </w:rPr>
        <w:t xml:space="preserve">Article 2 </w:t>
      </w:r>
      <w:r w:rsidRPr="003410F7">
        <w:rPr>
          <w:rFonts w:ascii="Times New Roman" w:hAnsi="Times New Roman" w:cs="Times New Roman"/>
          <w:b/>
          <w:bCs/>
          <w:sz w:val="22"/>
          <w:szCs w:val="22"/>
        </w:rPr>
        <w:t>:</w:t>
      </w:r>
      <w:r w:rsidRPr="00C51D72">
        <w:rPr>
          <w:rFonts w:ascii="Times New Roman" w:hAnsi="Times New Roman" w:cs="Times New Roman"/>
          <w:sz w:val="22"/>
          <w:szCs w:val="22"/>
        </w:rPr>
        <w:t xml:space="preserve"> La redevance est due par l’entreprise, à la demande de laquelle le signal a été réalisé et placé. </w:t>
      </w:r>
    </w:p>
    <w:p w14:paraId="34D6AA73" w14:textId="6A4088D6" w:rsidR="0022723E" w:rsidRPr="00C51D72" w:rsidRDefault="003C36C7">
      <w:pPr>
        <w:pStyle w:val="whP2pod"/>
        <w:rPr>
          <w:rFonts w:ascii="Times New Roman" w:hAnsi="Times New Roman" w:cs="Times New Roman"/>
          <w:sz w:val="22"/>
          <w:szCs w:val="22"/>
        </w:rPr>
      </w:pPr>
      <w:r w:rsidRPr="003410F7">
        <w:rPr>
          <w:rStyle w:val="whP1pod"/>
          <w:rFonts w:ascii="Times New Roman" w:hAnsi="Times New Roman" w:cs="Times New Roman"/>
          <w:b w:val="0"/>
          <w:bCs/>
          <w:sz w:val="22"/>
          <w:szCs w:val="22"/>
        </w:rPr>
        <w:t>Article 3</w:t>
      </w:r>
      <w:r w:rsidRPr="00C51D72">
        <w:rPr>
          <w:rFonts w:ascii="Times New Roman" w:hAnsi="Times New Roman" w:cs="Times New Roman"/>
          <w:sz w:val="22"/>
          <w:szCs w:val="22"/>
        </w:rPr>
        <w:t xml:space="preserve"> : Le taux de la redevance est fixé à</w:t>
      </w:r>
      <w:r w:rsidRPr="00C51D72">
        <w:rPr>
          <w:rStyle w:val="whP3pod"/>
          <w:rFonts w:ascii="Times New Roman" w:hAnsi="Times New Roman" w:cs="Times New Roman"/>
          <w:sz w:val="22"/>
          <w:szCs w:val="22"/>
        </w:rPr>
        <w:t xml:space="preserve"> </w:t>
      </w:r>
      <w:r w:rsidRPr="003410F7">
        <w:rPr>
          <w:rStyle w:val="whP3pod"/>
          <w:rFonts w:ascii="Times New Roman" w:hAnsi="Times New Roman" w:cs="Times New Roman"/>
          <w:b w:val="0"/>
          <w:bCs/>
          <w:sz w:val="22"/>
          <w:szCs w:val="22"/>
        </w:rPr>
        <w:t>75,00.-€uros</w:t>
      </w:r>
      <w:r w:rsidRPr="00C51D72">
        <w:rPr>
          <w:rFonts w:ascii="Times New Roman" w:hAnsi="Times New Roman" w:cs="Times New Roman"/>
          <w:sz w:val="22"/>
          <w:szCs w:val="22"/>
        </w:rPr>
        <w:t xml:space="preserve"> par signal placé et sera payée lors de la demande, au comptant, entre les mains du préposé de l’Administration communale qui en délivrera quittance. </w:t>
      </w:r>
    </w:p>
    <w:p w14:paraId="2A55D6CB"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 xml:space="preserve">Article 4 </w:t>
      </w:r>
      <w:r w:rsidRPr="003410F7">
        <w:rPr>
          <w:rFonts w:ascii="Times New Roman" w:hAnsi="Times New Roman" w:cs="Times New Roman"/>
          <w:b/>
          <w:bCs/>
          <w:sz w:val="22"/>
          <w:szCs w:val="22"/>
        </w:rPr>
        <w:t>:</w:t>
      </w:r>
    </w:p>
    <w:p w14:paraId="3A1DFB7E"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défaut de paiement de la redevance, dans le cadre du recouvrement amiable, un rappel par envoi simple sera envoyé au redevable. Ce rappel est gratuit.</w:t>
      </w:r>
    </w:p>
    <w:p w14:paraId="2B45F122"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l'issue de ce rappel, en cas de non-paiement dans un délai de 14 jours calendrier qui prend cours le troisième jour ouvrable qui suit celui où le rappel a été envoyé, conformément à l'article L 1124-40 du Code de la Démocratie Locale et de la Décentralisation, le débiteur sera mis en demeure par courrier recommandé. Les frais administratifs inhérents à cet envoi seront mis en charge du redevable et s'élèveront à 15 €. Ce montant sera ajouté au principal sur le document de rappel.</w:t>
      </w:r>
    </w:p>
    <w:p w14:paraId="35406F75" w14:textId="77777777" w:rsidR="0022723E" w:rsidRPr="00C51D72" w:rsidRDefault="003C36C7">
      <w:pPr>
        <w:pStyle w:val="whP29pod"/>
        <w:rPr>
          <w:rFonts w:ascii="Times New Roman" w:hAnsi="Times New Roman" w:cs="Times New Roman"/>
          <w:sz w:val="22"/>
          <w:szCs w:val="22"/>
        </w:rPr>
      </w:pPr>
      <w:r w:rsidRPr="00C51D72">
        <w:rPr>
          <w:rFonts w:ascii="Times New Roman" w:hAnsi="Times New Roman" w:cs="Times New Roman"/>
          <w:sz w:val="22"/>
          <w:szCs w:val="22"/>
        </w:rPr>
        <w:t>À défaut de paiement, pour autant que la créance soit certaine, liquide et exigible, le Directeur financier fait signifier par exploit d’huissier une contrainte visée et rendue exécutoire par le Collège communal. Cette signification interrompt la prescription. Un recours contre cette contrainte peut être introduit dans le mois de signification par requête ou citation. Les frais administratifs inhérents à ces rappels sont recouvrés par la même contrainte.</w:t>
      </w:r>
    </w:p>
    <w:p w14:paraId="282BBA4F" w14:textId="48CE60C5" w:rsidR="0022723E" w:rsidRPr="00C51D72" w:rsidRDefault="003C36C7" w:rsidP="003410F7">
      <w:pPr>
        <w:pStyle w:val="whP29pod"/>
        <w:rPr>
          <w:rFonts w:ascii="Times New Roman" w:hAnsi="Times New Roman" w:cs="Times New Roman"/>
          <w:sz w:val="22"/>
          <w:szCs w:val="22"/>
        </w:rPr>
      </w:pPr>
      <w:r w:rsidRPr="00C51D72">
        <w:rPr>
          <w:rFonts w:ascii="Times New Roman" w:hAnsi="Times New Roman" w:cs="Times New Roman"/>
          <w:sz w:val="22"/>
          <w:szCs w:val="22"/>
        </w:rPr>
        <w:t>En cas d'inapplicabilité de l'article L1124-40 du Code de la Démocratie Locale et de la Décentralisation, le recouvrement s'effectue devant les juridictions compétentes. </w:t>
      </w:r>
    </w:p>
    <w:p w14:paraId="309734FA" w14:textId="77777777" w:rsidR="0022723E" w:rsidRPr="00C51D72" w:rsidRDefault="003C36C7">
      <w:pPr>
        <w:pStyle w:val="whP2pod"/>
        <w:rPr>
          <w:rFonts w:ascii="Times New Roman" w:hAnsi="Times New Roman" w:cs="Times New Roman"/>
          <w:sz w:val="22"/>
          <w:szCs w:val="22"/>
        </w:rPr>
      </w:pPr>
      <w:r w:rsidRPr="003410F7">
        <w:rPr>
          <w:rStyle w:val="whP5pod"/>
          <w:rFonts w:ascii="Times New Roman" w:hAnsi="Times New Roman" w:cs="Times New Roman"/>
          <w:b w:val="0"/>
          <w:bCs/>
          <w:sz w:val="22"/>
          <w:szCs w:val="22"/>
        </w:rPr>
        <w:t>Article 5</w:t>
      </w:r>
      <w:r w:rsidRPr="00C51D72">
        <w:rPr>
          <w:rStyle w:val="whP5pod"/>
          <w:rFonts w:ascii="Times New Roman" w:hAnsi="Times New Roman" w:cs="Times New Roman"/>
          <w:sz w:val="22"/>
          <w:szCs w:val="22"/>
        </w:rPr>
        <w:t> </w:t>
      </w:r>
      <w:r w:rsidRPr="00C51D72">
        <w:rPr>
          <w:rFonts w:ascii="Times New Roman" w:hAnsi="Times New Roman" w:cs="Times New Roman"/>
          <w:sz w:val="22"/>
          <w:szCs w:val="22"/>
        </w:rPr>
        <w:t>- Le traitement de données à caractère personnel nécessaire à la mise en œuvre du présent règlement se fera suivant les règles suivantes :</w:t>
      </w:r>
    </w:p>
    <w:p w14:paraId="33D8313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07E4CF0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redevance ;</w:t>
      </w:r>
    </w:p>
    <w:p w14:paraId="6FE6A398"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7E1EE19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01C098D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54B48B9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w:t>
      </w:r>
    </w:p>
    <w:p w14:paraId="6E82A73F" w14:textId="691CFA9E" w:rsidR="0022723E" w:rsidRPr="00C51D72" w:rsidRDefault="003C36C7">
      <w:pPr>
        <w:pStyle w:val="whP2pod"/>
        <w:rPr>
          <w:rFonts w:ascii="Times New Roman" w:hAnsi="Times New Roman" w:cs="Times New Roman"/>
          <w:sz w:val="22"/>
          <w:szCs w:val="22"/>
        </w:rPr>
      </w:pPr>
      <w:r w:rsidRPr="003410F7">
        <w:rPr>
          <w:rFonts w:ascii="Times New Roman" w:hAnsi="Times New Roman" w:cs="Times New Roman"/>
          <w:bCs/>
          <w:sz w:val="22"/>
          <w:szCs w:val="22"/>
        </w:rPr>
        <w:t> </w:t>
      </w:r>
      <w:r w:rsidRPr="00C55720">
        <w:rPr>
          <w:rStyle w:val="whP1pod"/>
          <w:rFonts w:ascii="Times New Roman" w:hAnsi="Times New Roman" w:cs="Times New Roman"/>
          <w:b w:val="0"/>
          <w:sz w:val="22"/>
          <w:szCs w:val="22"/>
        </w:rPr>
        <w:t>Article 6 </w:t>
      </w:r>
      <w:r w:rsidRPr="00C55720">
        <w:rPr>
          <w:rFonts w:ascii="Times New Roman" w:hAnsi="Times New Roman" w:cs="Times New Roman"/>
          <w:b/>
          <w:sz w:val="22"/>
          <w:szCs w:val="22"/>
        </w:rPr>
        <w:t>:</w:t>
      </w:r>
      <w:r w:rsidRPr="00C51D72">
        <w:rPr>
          <w:rFonts w:ascii="Times New Roman" w:hAnsi="Times New Roman" w:cs="Times New Roman"/>
          <w:sz w:val="22"/>
          <w:szCs w:val="22"/>
        </w:rPr>
        <w:t xml:space="preserve"> La présente délibération sera transmise au Gouvernement Wallon conformément aux articles L3131-1 et suivants dans le cadre de la tutelle spéciale d’approbation. </w:t>
      </w:r>
    </w:p>
    <w:p w14:paraId="2556FEF2" w14:textId="77777777" w:rsidR="0022723E" w:rsidRPr="00C51D72" w:rsidRDefault="003C36C7">
      <w:pPr>
        <w:pStyle w:val="whP2pod"/>
        <w:rPr>
          <w:rFonts w:ascii="Times New Roman" w:hAnsi="Times New Roman" w:cs="Times New Roman"/>
          <w:sz w:val="22"/>
          <w:szCs w:val="22"/>
        </w:rPr>
      </w:pPr>
      <w:r w:rsidRPr="003410F7">
        <w:rPr>
          <w:rStyle w:val="whP1pod"/>
          <w:rFonts w:ascii="Times New Roman" w:hAnsi="Times New Roman" w:cs="Times New Roman"/>
          <w:b w:val="0"/>
          <w:bCs/>
          <w:sz w:val="22"/>
          <w:szCs w:val="22"/>
        </w:rPr>
        <w:t>Article 7</w:t>
      </w:r>
      <w:r w:rsidRPr="00C51D72">
        <w:rPr>
          <w:rStyle w:val="whP1pod"/>
          <w:rFonts w:ascii="Times New Roman" w:hAnsi="Times New Roman" w:cs="Times New Roman"/>
          <w:sz w:val="22"/>
          <w:szCs w:val="22"/>
        </w:rPr>
        <w:t> </w:t>
      </w:r>
      <w:r w:rsidRPr="00C51D72">
        <w:rPr>
          <w:rFonts w:ascii="Times New Roman" w:hAnsi="Times New Roman" w:cs="Times New Roman"/>
          <w:sz w:val="22"/>
          <w:szCs w:val="22"/>
        </w:rPr>
        <w:t>: La présente délibération entrera en vigueur après accomplissement des formalités de publication conformément aux articles L1133-1 et L1133-2 du Code de la Démocratie Locale et de la Décentralisation.</w:t>
      </w:r>
    </w:p>
    <w:p w14:paraId="335EB4F5"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5350DC57" w14:textId="77777777" w:rsidR="0022723E" w:rsidRPr="00C51D72" w:rsidRDefault="003C36C7">
      <w:pPr>
        <w:pStyle w:val="Titre2"/>
        <w:tabs>
          <w:tab w:val="left" w:pos="1020"/>
        </w:tabs>
        <w:spacing w:before="0" w:after="113"/>
        <w:ind w:left="510" w:hanging="510"/>
        <w:jc w:val="both"/>
        <w:rPr>
          <w:rFonts w:cs="Times New Roman"/>
          <w:szCs w:val="22"/>
        </w:rPr>
      </w:pPr>
      <w:bookmarkStart w:id="24" w:name="__RefHeading___Toc1768_349934923624"/>
      <w:bookmarkEnd w:id="24"/>
      <w:r w:rsidRPr="00C51D72">
        <w:rPr>
          <w:rFonts w:cs="Times New Roman"/>
          <w:color w:val="000000"/>
          <w:szCs w:val="22"/>
          <w:u w:val="none"/>
        </w:rPr>
        <w:t>25.</w:t>
      </w:r>
      <w:r w:rsidRPr="00C51D72">
        <w:rPr>
          <w:rFonts w:cs="Times New Roman"/>
          <w:color w:val="000000"/>
          <w:szCs w:val="22"/>
          <w:u w:val="none"/>
        </w:rPr>
        <w:tab/>
      </w:r>
      <w:r w:rsidRPr="00C51D72">
        <w:rPr>
          <w:rFonts w:cs="Times New Roman"/>
          <w:caps/>
          <w:color w:val="000000"/>
          <w:szCs w:val="22"/>
        </w:rPr>
        <w:t>TAXE SUR L'ABSENCE D'EMPLACEMENTS DE PARCAGE - EXERCICES 2026 À 2031.</w:t>
      </w:r>
    </w:p>
    <w:p w14:paraId="6021DE6E"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D985183" w14:textId="17C7693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et 170 § 4 ; </w:t>
      </w:r>
    </w:p>
    <w:p w14:paraId="3B4DCA91" w14:textId="581B8F4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4E1D0945" w14:textId="3454C17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les articles L1122-30 et L3321-1 à 12 ; </w:t>
      </w:r>
    </w:p>
    <w:p w14:paraId="5F8BF2AF" w14:textId="328F5CF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taxes communales ; </w:t>
      </w:r>
    </w:p>
    <w:p w14:paraId="2C381FD3" w14:textId="40EEE61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Vu les recommandations de la circulaire budgétaire du 11 septembre 2025 relative à l'élaboration des budgets des communes de la Région wallonne, pour l'année 2026 ; </w:t>
      </w:r>
    </w:p>
    <w:p w14:paraId="59C31CB2" w14:textId="27FE098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circulaire n° 59 du Ministre des Travaux publics du 17 juin 1970 (M.B. 4.8.1970) ; </w:t>
      </w:r>
    </w:p>
    <w:p w14:paraId="44CECA49" w14:textId="57C1301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commune doit se doter des moyens nécessaires afin d’assurer l’exercice de sa mission de service public ; </w:t>
      </w:r>
    </w:p>
    <w:p w14:paraId="630B6DA7" w14:textId="295F330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 nombre de véhicules croît sans cesse et que les véhicules stationnent de plus en plus sur le domaine public, entraînant un encombrement et un manque de disponibilité, qu’il est impératif d’obliger les constructeurs à prévoir des emplacements de parcage privatifs pour dégager le domaine public ; que, en cas d’impossibilité absolue d’une telle réalisation en domaine privé, il faut prévoir une compensation financière pour la collectivité qui devra souffrir d’un déficit accru en disponibilité de parcage en domaine public ; qu’il faut aussi agir de la même manière en cas de transformation, couverte ou non par une autorisation urbanistique, qui aurait nécessité plus d’emplacements de parcage ; qu’il s’agit là du but accessoire du règlement-taxe ; </w:t>
      </w:r>
    </w:p>
    <w:p w14:paraId="1E6BD834" w14:textId="44358EB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difficultés se trouvent accrues du fait que de nombreux véhicules sont laissés en stationnement sur la voie publique, diminuant d'autant plus la possibilité de circuler ; </w:t>
      </w:r>
    </w:p>
    <w:p w14:paraId="2500AA59" w14:textId="55B140B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y a lieu de tenir compte des visiteurs dans le calcul de création de places de parcage lors de la création ou transformation de logements ; </w:t>
      </w:r>
    </w:p>
    <w:p w14:paraId="364B8457" w14:textId="0C0CDA2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en conséquence que la présente taxe ne peut donner le choix entre l’aménagement de places de parcage et le paiement de la taxe ; que la taxe ne vient qu’à défaut absolu de pouvoir aménager ces places de parcage ; </w:t>
      </w:r>
    </w:p>
    <w:p w14:paraId="2812EC4E" w14:textId="641A58B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l’arrêt du Conseil d’Etat n°196.982 du 15 octobre 2009 qui, d’une part, réfute l’argument selon lequel cette taxe serait illégale parce que dépourvue de base taxable en frappant une capacité contributive négative, et d’autre part, affirme que « dès lors, que l’objectif principal d’une taxe est d’ordre budgétaire, rien ne s’oppose en principe à ce que l’autorité communale poursuive également des objectifs accessoires, non financiers, d’incitation ou de dissuasion », tel qu’un objectif urbanistique accessoire ; </w:t>
      </w:r>
    </w:p>
    <w:p w14:paraId="178BC0D0" w14:textId="61CB68E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communication du dossier au Directeur financier faite en date du 29 octobre 2025 conformément à l’article L 1124-40 §1,3°et 4° du Code de la démocratie locale et de la décentralisation ; </w:t>
      </w:r>
    </w:p>
    <w:p w14:paraId="65EB5BCE" w14:textId="53847E1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Directeur financier le 03 novembre 2025 et joint en annexe ; </w:t>
      </w:r>
    </w:p>
    <w:p w14:paraId="2593FB09" w14:textId="1CE65B8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110B60B1" w14:textId="4C52FB3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34B421B0" w14:textId="267CB318"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w:t>
      </w:r>
    </w:p>
    <w:p w14:paraId="45B158BA" w14:textId="18EF5D16"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DÉCIDE :</w:t>
      </w:r>
      <w:r w:rsidRPr="003410F7">
        <w:rPr>
          <w:rFonts w:ascii="Times New Roman" w:hAnsi="Times New Roman" w:cs="Times New Roman"/>
          <w:b/>
          <w:bCs/>
          <w:sz w:val="22"/>
          <w:szCs w:val="22"/>
        </w:rPr>
        <w:t> </w:t>
      </w:r>
    </w:p>
    <w:p w14:paraId="3FA5AD83"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1</w:t>
      </w:r>
    </w:p>
    <w:p w14:paraId="51FE618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Il est établi pour les exercices 2026 à 2031 inclus, une taxe communale sur l’absence d’emplacement de parcage.</w:t>
      </w:r>
    </w:p>
    <w:p w14:paraId="26F0DB0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Sont visés :</w:t>
      </w:r>
    </w:p>
    <w:p w14:paraId="010E701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 le défaut, lors de la construction ou de la transformation d'immeubles ou de parties d'immeuble(s), d'un ou de plusieurs emplacements de parcage, conformément aux normes définies à l'article 5 du présent règlement ;</w:t>
      </w:r>
      <w:r w:rsidRPr="00C51D72">
        <w:rPr>
          <w:rFonts w:ascii="Times New Roman" w:hAnsi="Times New Roman" w:cs="Times New Roman"/>
          <w:sz w:val="22"/>
          <w:szCs w:val="22"/>
        </w:rPr>
        <w:br/>
        <w:t>b) le changement d'affectation d'immeubles ou parties d'immeuble(s), ayant pour effet qu'un ou plusieurs emplacements de parcage prévus, conformément aux normes définies à l'article 5 du présent règlement, font défaut.</w:t>
      </w:r>
      <w:r w:rsidRPr="00C51D72">
        <w:rPr>
          <w:rFonts w:ascii="Times New Roman" w:hAnsi="Times New Roman" w:cs="Times New Roman"/>
          <w:sz w:val="22"/>
          <w:szCs w:val="22"/>
        </w:rPr>
        <w:br/>
        <w:t>c) la diminution, par quelque opération que ce soit, du nombre de places de parcage affectées à un logement donné faisant en sorte que le nombre total de places disponibles pour ce logement soit inférieur à la norme définie à l'article 5 du présent règlement ;</w:t>
      </w:r>
    </w:p>
    <w:p w14:paraId="01A2B815" w14:textId="31D2E5C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fait qu'un permis d'urbanisation, d'urbanisme, un permis unique ou une déclaration urbanistique soit ou non requis pour les opérations visées au présent article est sans incidence sur la redevabilité de la taxe. </w:t>
      </w:r>
    </w:p>
    <w:p w14:paraId="5A7CAEF8"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2</w:t>
      </w:r>
    </w:p>
    <w:p w14:paraId="53CACBB1" w14:textId="02C562B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due par le demandeur du permis du logement pour lequel les places sont manquantes. Le propriétaire et l’occupant sont le cas échéant codébiteurs solidaires de la taxe. </w:t>
      </w:r>
    </w:p>
    <w:p w14:paraId="25F517A6"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3</w:t>
      </w:r>
    </w:p>
    <w:p w14:paraId="469906A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fixée à 5.000 euros par emplacement manquant ou non maintenu conformément aux normes définies à l'article 5 du présent règlement.</w:t>
      </w:r>
    </w:p>
    <w:p w14:paraId="2527A307" w14:textId="7F3D591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Dans le cas de suppression de places de parcage et si le nombre de places qui étaient disponibles pour un logement donné à l'entrée en vigueur du présent règlement était inférieur à la norme définie à l'article 5, le nombre d'emplacements considérés comme manquant pour l'application de l'alinéa 1 sera équivalent au nombre de places supprimées. </w:t>
      </w:r>
    </w:p>
    <w:p w14:paraId="7CA6162F"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4</w:t>
      </w:r>
    </w:p>
    <w:p w14:paraId="605F653A"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exigible :</w:t>
      </w:r>
    </w:p>
    <w:p w14:paraId="4DC494CA"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Au constat dressé par le préposé aux taxes qu'une autorisation n'a pas été respectée, indépendamment de toute procédure en infraction.</w:t>
      </w:r>
    </w:p>
    <w:p w14:paraId="28F0CCE0"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Au constat dressé par le préposé aux taxes qu'une modification nécessitant des places de parcage a été apportée sans autorisation urbanistique, que celle-ci soit exigible ou non.</w:t>
      </w:r>
    </w:p>
    <w:p w14:paraId="0AAE16B1" w14:textId="38F0873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Au constat dressé par le préposé aux taxes qu'une ou plusieurs places de parcage ont été supprimées.</w:t>
      </w:r>
    </w:p>
    <w:p w14:paraId="1F8E0ACB"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lastRenderedPageBreak/>
        <w:t>Article 5</w:t>
      </w:r>
    </w:p>
    <w:p w14:paraId="2740CA1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ne trouvera à s'appliquer que sur les immeubles à usage de logement situés sur le territoire de la commune de Remicourt.</w:t>
      </w:r>
    </w:p>
    <w:p w14:paraId="7B94AA1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normes pour l'application du présent règlement sont les suivantes :</w:t>
      </w:r>
    </w:p>
    <w:p w14:paraId="62D7D7BF"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"emplacement de parcage", on entend :</w:t>
      </w:r>
    </w:p>
    <w:p w14:paraId="3E8AC2B0" w14:textId="4392358E"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   soit un garage fermé (box), dont les dimensions minimales sont : 5 m de long, 2,75 m de large, 1,80 m de haut;</w:t>
      </w:r>
      <w:r w:rsidRPr="00C51D72">
        <w:rPr>
          <w:rFonts w:ascii="Times New Roman" w:hAnsi="Times New Roman" w:cs="Times New Roman"/>
          <w:sz w:val="22"/>
          <w:szCs w:val="22"/>
        </w:rPr>
        <w:br/>
        <w:t>2.   soit un emplacement couvert dont les dimensions minimales sont : 4,50 m x 2,25 m. Hauteur minimale 1,80 m. La disposition des places de parcage, et spécialement l'angle que les véhicules parqués forment avec l'axe de la voie d'accès, dépendent de la largeur de cette dernière</w:t>
      </w:r>
      <w:r w:rsidR="003410F7">
        <w:rPr>
          <w:rFonts w:ascii="Times New Roman" w:hAnsi="Times New Roman" w:cs="Times New Roman"/>
          <w:sz w:val="22"/>
          <w:szCs w:val="22"/>
        </w:rPr>
        <w:t xml:space="preserve"> </w:t>
      </w:r>
      <w:r w:rsidRPr="00C51D72">
        <w:rPr>
          <w:rFonts w:ascii="Times New Roman" w:hAnsi="Times New Roman" w:cs="Times New Roman"/>
          <w:sz w:val="22"/>
          <w:szCs w:val="22"/>
        </w:rPr>
        <w:t>;</w:t>
      </w:r>
    </w:p>
    <w:p w14:paraId="114F26BB" w14:textId="5B1D55D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3.   soit un emplacement en plein air dont les dimensions minimales sont 5,50 m de longueur x 2,50 m de largeur;</w:t>
      </w:r>
    </w:p>
    <w:p w14:paraId="400C3CD2"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"aménagement d'emplacements de parcage", on entend :</w:t>
      </w:r>
    </w:p>
    <w:p w14:paraId="43AECFD3"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 l'acquisition par le promoteur ou l'exploitant du logement, en pleine propriété ou par un droit réel portant sur une durée d'au moins 30 ans, d'une aire d'emplacements de parcage existante. Pareille aire ne peut cependant avoir déjà été prise en considération pour l'obtention d'une autre autorisation de construire.</w:t>
      </w:r>
    </w:p>
    <w:p w14:paraId="248D81B7" w14:textId="5602F96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b) la construction d'une nouvelle aire d'emplacements de parcage sur un bien immobilier relié au promoteur ou à l'exploitant du logement par une pleine propriété ou un droit réel portant sur une durée d'au moins 30 ans.</w:t>
      </w:r>
    </w:p>
    <w:p w14:paraId="63B622A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emplacements de parcage doivent être aménagées, soit sur Ia parcelle même sur laquelle Ie logement est créé, soit sur une parcelle jouxtant celle-ci.</w:t>
      </w:r>
    </w:p>
    <w:p w14:paraId="24C0254B"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1. Nouvelles constructions</w:t>
      </w:r>
    </w:p>
    <w:p w14:paraId="2DA76A51" w14:textId="77777777" w:rsidR="003410F7"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Pour les habitations unifamiliales : deux emplacements de parcage</w:t>
      </w:r>
    </w:p>
    <w:p w14:paraId="5D5BF3A0" w14:textId="0AA683E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Pour les immeubles à appartements ou l'habitat groupé : deux emplacements de parcage par logement quelle que soit sa superficie</w:t>
      </w:r>
    </w:p>
    <w:p w14:paraId="2B9E193E"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2. Travaux de transformation</w:t>
      </w:r>
    </w:p>
    <w:p w14:paraId="57D59052" w14:textId="311F5D5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Pour les travaux de transformation aux constructions existantes ayant pour but la création de logement(s) supplémentaire(s) s'appliquent les mêmes règles que pour les nouvelles constructions. Si les travaux de transformation d'une maison unifamiliale aboutissent à la création d'un ou plusieurs logements, les règles d'immeubles à appartement et d'habitat groupé s'appliqueront. </w:t>
      </w:r>
    </w:p>
    <w:p w14:paraId="370E85E9" w14:textId="77777777" w:rsidR="0022723E" w:rsidRPr="003410F7" w:rsidRDefault="003C36C7">
      <w:pPr>
        <w:pStyle w:val="whP2pod"/>
        <w:rPr>
          <w:rFonts w:ascii="Times New Roman" w:hAnsi="Times New Roman" w:cs="Times New Roman"/>
          <w:b/>
          <w:bCs/>
          <w:sz w:val="22"/>
          <w:szCs w:val="22"/>
        </w:rPr>
      </w:pPr>
      <w:r w:rsidRPr="003410F7">
        <w:rPr>
          <w:rStyle w:val="whP5pod"/>
          <w:rFonts w:ascii="Times New Roman" w:hAnsi="Times New Roman" w:cs="Times New Roman"/>
          <w:b w:val="0"/>
          <w:bCs/>
          <w:sz w:val="22"/>
          <w:szCs w:val="22"/>
        </w:rPr>
        <w:t>Article 6 </w:t>
      </w:r>
    </w:p>
    <w:p w14:paraId="40C7209B" w14:textId="1B4D527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taxe est perçue par voie de rôle et est payable dans les deux mois de l’envoi de l'avertissement extrait de rôle.   </w:t>
      </w:r>
    </w:p>
    <w:p w14:paraId="323AB739"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7 </w:t>
      </w:r>
    </w:p>
    <w:p w14:paraId="6C8D0239" w14:textId="0062448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clauses concernant l'établissement, le recouvrement, et le contentieux sont celles reprises dans les dispositions légales et réglementaires relatives à l'établissement et au recouvrement des taxes communales et dans l'arrêté royal du 12 avril 1999 déterminant la procédure devant le gouverneur ou devant le Collège des bourgmestre et échevins en matière de réclamation contre une imposition provinciale ou communale. </w:t>
      </w:r>
    </w:p>
    <w:p w14:paraId="789B48A7"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8</w:t>
      </w:r>
    </w:p>
    <w:p w14:paraId="783F29E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Le traitement de données à caractère personnel nécessaire à la mise en œuvre du présent règlement se fera suivant les règles suivantes :</w:t>
      </w:r>
    </w:p>
    <w:p w14:paraId="2A383B4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4A47902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taxe ;</w:t>
      </w:r>
    </w:p>
    <w:p w14:paraId="3670FA5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27407F7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7068053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468644E9" w14:textId="54EABA1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280E74F7"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 xml:space="preserve">Article 9 </w:t>
      </w:r>
    </w:p>
    <w:p w14:paraId="09BB4160" w14:textId="4BF1EB2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La présente délibération sera transmise au Gouvernement wallon conformément aux articles L3131-1 et suivants du Code de la Démocratie Locale et de la Décentralisation dans le cadre de la tutelle spéciale d’approbation. </w:t>
      </w:r>
    </w:p>
    <w:p w14:paraId="6FC7BC7D" w14:textId="77777777" w:rsidR="0022723E" w:rsidRPr="003410F7" w:rsidRDefault="003C36C7">
      <w:pPr>
        <w:pStyle w:val="whP2pod"/>
        <w:rPr>
          <w:rFonts w:ascii="Times New Roman" w:hAnsi="Times New Roman" w:cs="Times New Roman"/>
          <w:b/>
          <w:bCs/>
          <w:sz w:val="22"/>
          <w:szCs w:val="22"/>
        </w:rPr>
      </w:pPr>
      <w:r w:rsidRPr="003410F7">
        <w:rPr>
          <w:rStyle w:val="whP1pod"/>
          <w:rFonts w:ascii="Times New Roman" w:hAnsi="Times New Roman" w:cs="Times New Roman"/>
          <w:b w:val="0"/>
          <w:bCs/>
          <w:sz w:val="22"/>
          <w:szCs w:val="22"/>
        </w:rPr>
        <w:t>Article 10</w:t>
      </w:r>
    </w:p>
    <w:p w14:paraId="26BE4519" w14:textId="50D26263" w:rsidR="0022723E" w:rsidRPr="00C51D72" w:rsidRDefault="003C36C7" w:rsidP="003410F7">
      <w:pPr>
        <w:pStyle w:val="whP2pod"/>
        <w:rPr>
          <w:rFonts w:ascii="Times New Roman" w:hAnsi="Times New Roman" w:cs="Times New Roman"/>
          <w:color w:val="000000"/>
          <w:sz w:val="22"/>
          <w:szCs w:val="22"/>
        </w:rPr>
      </w:pPr>
      <w:r w:rsidRPr="00C51D72">
        <w:rPr>
          <w:rFonts w:ascii="Times New Roman" w:hAnsi="Times New Roman" w:cs="Times New Roman"/>
          <w:sz w:val="22"/>
          <w:szCs w:val="22"/>
        </w:rPr>
        <w:t>Le présent règlement entrera en vigueur au jour de sa publication, conformément aux articles L1133-1 à 2 du Code de la Démocratie Locale et de la Décentralisation.</w:t>
      </w:r>
    </w:p>
    <w:p w14:paraId="6C6D9431"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42DAF9E9" w14:textId="77777777" w:rsidR="0022723E" w:rsidRPr="00C51D72" w:rsidRDefault="003C36C7">
      <w:pPr>
        <w:pStyle w:val="Titre2"/>
        <w:tabs>
          <w:tab w:val="left" w:pos="1020"/>
        </w:tabs>
        <w:spacing w:before="0" w:after="113"/>
        <w:ind w:left="510" w:hanging="510"/>
        <w:jc w:val="both"/>
        <w:rPr>
          <w:rFonts w:cs="Times New Roman"/>
          <w:szCs w:val="22"/>
        </w:rPr>
      </w:pPr>
      <w:bookmarkStart w:id="25" w:name="__RefHeading___Toc1768_349934923625"/>
      <w:bookmarkEnd w:id="25"/>
      <w:r w:rsidRPr="00C51D72">
        <w:rPr>
          <w:rFonts w:cs="Times New Roman"/>
          <w:color w:val="000000"/>
          <w:szCs w:val="22"/>
          <w:u w:val="none"/>
        </w:rPr>
        <w:t>26.</w:t>
      </w:r>
      <w:r w:rsidRPr="00C51D72">
        <w:rPr>
          <w:rFonts w:cs="Times New Roman"/>
          <w:color w:val="000000"/>
          <w:szCs w:val="22"/>
          <w:u w:val="none"/>
        </w:rPr>
        <w:tab/>
      </w:r>
      <w:r w:rsidRPr="00C51D72">
        <w:rPr>
          <w:rFonts w:cs="Times New Roman"/>
          <w:caps/>
          <w:color w:val="000000"/>
          <w:szCs w:val="22"/>
        </w:rPr>
        <w:t>REDEVANCE POUR CONTRÔLE D'IMPLANTATION DES CONSTRUCTIONS NOUVELLES - EXERCICES 2026 À 2031.</w:t>
      </w:r>
    </w:p>
    <w:p w14:paraId="65B23EE0"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1686035D" w14:textId="321540A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173 et 190 ; </w:t>
      </w:r>
    </w:p>
    <w:p w14:paraId="46B2CA81" w14:textId="745E854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des données à caractère personne et à la libre circulation de ces données, et abrogeant la directive 95/46/CE (règlement général sur la protection des données) entrée en vigueur le 25 mai 2018 ; </w:t>
      </w:r>
    </w:p>
    <w:p w14:paraId="72A26CE8" w14:textId="692C1EF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Vu le décret du 14 décembre 2000 (M.B. 18.1.2001) et la loi du 24 juin 2000 (M.B. 23.9.2004, éd. 2) portant assentiment de la Charte européenne de l’autonomie locale, notamment l’article 9.1. de la Charte ; </w:t>
      </w:r>
    </w:p>
    <w:p w14:paraId="10C07336" w14:textId="5CAC63F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articles L1122-30 du Code de la Démocratie Locale et de la Décentralisation ; </w:t>
      </w:r>
    </w:p>
    <w:p w14:paraId="13877473" w14:textId="5C83AEB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redevances communales ; </w:t>
      </w:r>
    </w:p>
    <w:p w14:paraId="4B0C3827" w14:textId="42D3180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l'article D.IV.72 du Code du Développement Territorial (CoDT) ; </w:t>
      </w:r>
    </w:p>
    <w:p w14:paraId="70F7631D" w14:textId="374D5AB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émises par la circulaire du 11 septembre 2025 relative à l’élaboration des budgets des communes de la Région wallonne, pour l’année 2026 ; </w:t>
      </w:r>
    </w:p>
    <w:p w14:paraId="32816962" w14:textId="2D9E3C0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Revu sa délibération du 09 novembre 2023 établissant un règlement redevance pour l'indication de l'implantation des nouvelles constructions ; </w:t>
      </w:r>
    </w:p>
    <w:p w14:paraId="110E33D3" w14:textId="2A72BE8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situation financière de la Commune ; </w:t>
      </w:r>
    </w:p>
    <w:p w14:paraId="7C0D6E2E" w14:textId="0F04FC6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que la commune doit se doter des moyens nécessaires afin d'assurer l'exercice de sa mission de service public ; </w:t>
      </w:r>
    </w:p>
    <w:p w14:paraId="49A9A1D1" w14:textId="4D545C8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est équitable et de bonne gestion communale de ne pas faire supporter à l'ensemble des citoyens le coût des contrôles en cause, mais de solliciter l'intervention des demandeurs, directement bénéficiaires desdits contrôles ; </w:t>
      </w:r>
    </w:p>
    <w:p w14:paraId="3CDD33C2" w14:textId="386D8D3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en date du 29 octobre 2025 ; </w:t>
      </w:r>
    </w:p>
    <w:p w14:paraId="5898919F" w14:textId="5DCF545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4CA2249B" w14:textId="75E373E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0F2D3E4A" w14:textId="31E17C9E"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 ;</w:t>
      </w:r>
      <w:r w:rsidRPr="003410F7">
        <w:rPr>
          <w:rFonts w:ascii="Times New Roman" w:hAnsi="Times New Roman" w:cs="Times New Roman"/>
          <w:b/>
          <w:bCs/>
          <w:sz w:val="22"/>
          <w:szCs w:val="22"/>
        </w:rPr>
        <w:t> </w:t>
      </w:r>
    </w:p>
    <w:p w14:paraId="0E34A907" w14:textId="3276993C"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ARRÊTE :</w:t>
      </w:r>
      <w:r w:rsidRPr="003410F7">
        <w:rPr>
          <w:rFonts w:ascii="Times New Roman" w:hAnsi="Times New Roman" w:cs="Times New Roman"/>
          <w:b/>
          <w:bCs/>
          <w:sz w:val="22"/>
          <w:szCs w:val="22"/>
        </w:rPr>
        <w:t> </w:t>
      </w:r>
    </w:p>
    <w:p w14:paraId="1A36B0A5" w14:textId="0AE1527D"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II est établi, pour les exercices 2026 à 2031, une redevance communale pour l'indication de l'implantation des constructions. </w:t>
      </w:r>
    </w:p>
    <w:p w14:paraId="4BB518AE" w14:textId="0126480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2.</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La redevance est due par la personne physique ou morale qui demande le contrôle d’implantation. </w:t>
      </w:r>
    </w:p>
    <w:p w14:paraId="7D80A3B3"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w:t>
      </w:r>
      <w:r w:rsidRPr="00C51D72">
        <w:rPr>
          <w:rStyle w:val="whP3pod"/>
          <w:rFonts w:ascii="Times New Roman" w:hAnsi="Times New Roman" w:cs="Times New Roman"/>
          <w:sz w:val="22"/>
          <w:szCs w:val="22"/>
        </w:rPr>
        <w:t xml:space="preserve"> - </w:t>
      </w:r>
      <w:r w:rsidRPr="00C51D72">
        <w:rPr>
          <w:rFonts w:ascii="Times New Roman" w:hAnsi="Times New Roman" w:cs="Times New Roman"/>
          <w:sz w:val="22"/>
          <w:szCs w:val="22"/>
        </w:rPr>
        <w:t>La redevance est calculée sur base des honoraires demandés par le géomètre chargé du contrôle de cette implantation.</w:t>
      </w:r>
    </w:p>
    <w:p w14:paraId="7E704B0C" w14:textId="34A5D404"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visite de recontrôle, les honoraires sont également à charge du redevable. </w:t>
      </w:r>
    </w:p>
    <w:p w14:paraId="34FBF935"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xml:space="preserve"> -</w:t>
      </w:r>
    </w:p>
    <w:p w14:paraId="419424D2"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L’administration adresse au redevable une facture reprenant les frais d’honoraires du géomètre ayant effectué le contrôle d’implantation.</w:t>
      </w:r>
    </w:p>
    <w:p w14:paraId="44560784" w14:textId="58C35C0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redevance est payable, dans les quinze jours à dater de la réception de la facture et selon les modalités figurant sur celle-ci. </w:t>
      </w:r>
    </w:p>
    <w:p w14:paraId="336B3257"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5.</w:t>
      </w:r>
      <w:r w:rsidRPr="00C51D72">
        <w:rPr>
          <w:rStyle w:val="whP3pod"/>
          <w:rFonts w:ascii="Times New Roman" w:hAnsi="Times New Roman" w:cs="Times New Roman"/>
          <w:sz w:val="22"/>
          <w:szCs w:val="22"/>
        </w:rPr>
        <w:t xml:space="preserve"> - </w:t>
      </w:r>
    </w:p>
    <w:p w14:paraId="3276EFD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À défaut de paiement à l’échéance, dans le cadre du recouvrement amiable, un rappel gratuit, par pli simple sera envoyé au redevable.</w:t>
      </w:r>
    </w:p>
    <w:p w14:paraId="17DC332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non-paiement de ce rappel dans les 14 jours calendrier qui prend cours le 3ème jour ouvrable qui suit celui où ledit rappel est envoyé Conformément aux dispositions de l’article L1124-40 §1er 1° du Code de la Démocratie locale et de la Décentralisation, le débiteur sera mis en demeure par courrier recommandé.</w:t>
      </w:r>
    </w:p>
    <w:p w14:paraId="75A3E291"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frais administratifs inhérents à cet envoi seront mis à charge du redevable et s’élèveront à 15€. Ce montant sera ajouté au principal sur le document de rappel.</w:t>
      </w:r>
    </w:p>
    <w:p w14:paraId="1702D818" w14:textId="59AE047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Dans les cas non prévus par cette disposition, le recouvrement sera poursuivi devant les juridictions civiles compétentes. </w:t>
      </w:r>
    </w:p>
    <w:p w14:paraId="6328C35E"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6 -</w:t>
      </w:r>
      <w:r w:rsidRPr="00C51D72">
        <w:rPr>
          <w:rFonts w:ascii="Times New Roman" w:hAnsi="Times New Roman" w:cs="Times New Roman"/>
          <w:sz w:val="22"/>
          <w:szCs w:val="22"/>
        </w:rPr>
        <w:t xml:space="preserve"> Le traitement de données à caractère personnel nécessaire à la mise en œuvre du présent règlement se fera suivant les règles suivantes :</w:t>
      </w:r>
    </w:p>
    <w:p w14:paraId="2DDBE54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67F6F55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Finalité du traitement : établissement et recouvrement de la redevance ;</w:t>
      </w:r>
    </w:p>
    <w:p w14:paraId="082EAE5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01E35877"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09C56F54"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72275C58" w14:textId="03EF41A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2964E2ED" w14:textId="0CB72C8B"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7</w:t>
      </w:r>
      <w:r w:rsidRPr="00C51D72">
        <w:rPr>
          <w:rFonts w:ascii="Times New Roman" w:hAnsi="Times New Roman" w:cs="Times New Roman"/>
          <w:sz w:val="22"/>
          <w:szCs w:val="22"/>
        </w:rPr>
        <w:t>- La présente délibération sera transmise au Gouvernement Wallon conformément aux articles L3131-1 et suivants dans le cadre de la tutelle spéciale d’approbation. </w:t>
      </w:r>
    </w:p>
    <w:p w14:paraId="3D9DFD8A" w14:textId="6A3487CA" w:rsidR="0022723E" w:rsidRPr="00C51D72" w:rsidRDefault="003C36C7" w:rsidP="003410F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8</w:t>
      </w:r>
      <w:r w:rsidRPr="00C51D72">
        <w:rPr>
          <w:rFonts w:ascii="Times New Roman" w:hAnsi="Times New Roman" w:cs="Times New Roman"/>
          <w:sz w:val="22"/>
          <w:szCs w:val="22"/>
        </w:rPr>
        <w:t>. - La présente délibération sera publiée conformément aux articles L1133-1 et L1133-2 du Code de la Démocratie Locale et de la Décentralisation.</w:t>
      </w:r>
    </w:p>
    <w:p w14:paraId="71146D13" w14:textId="77777777" w:rsidR="0022723E" w:rsidRPr="00C51D72" w:rsidRDefault="0022723E">
      <w:pPr>
        <w:pStyle w:val="Titre2"/>
        <w:tabs>
          <w:tab w:val="left" w:pos="1020"/>
        </w:tabs>
        <w:spacing w:before="0" w:after="0"/>
        <w:ind w:left="510" w:hanging="510"/>
        <w:jc w:val="both"/>
        <w:rPr>
          <w:rFonts w:cs="Times New Roman"/>
          <w:color w:val="000000"/>
          <w:szCs w:val="22"/>
          <w:u w:val="none"/>
        </w:rPr>
      </w:pPr>
    </w:p>
    <w:p w14:paraId="37A958DB"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76C29336" w14:textId="77777777" w:rsidR="0022723E" w:rsidRPr="00C51D72" w:rsidRDefault="003C36C7">
      <w:pPr>
        <w:pStyle w:val="Titre2"/>
        <w:tabs>
          <w:tab w:val="left" w:pos="1020"/>
        </w:tabs>
        <w:spacing w:before="0" w:after="113"/>
        <w:ind w:left="510" w:hanging="510"/>
        <w:jc w:val="both"/>
        <w:rPr>
          <w:rFonts w:cs="Times New Roman"/>
          <w:szCs w:val="22"/>
        </w:rPr>
      </w:pPr>
      <w:bookmarkStart w:id="26" w:name="__RefHeading___Toc1768_349934923626"/>
      <w:bookmarkEnd w:id="26"/>
      <w:r w:rsidRPr="00C51D72">
        <w:rPr>
          <w:rFonts w:cs="Times New Roman"/>
          <w:color w:val="000000"/>
          <w:szCs w:val="22"/>
          <w:u w:val="none"/>
        </w:rPr>
        <w:lastRenderedPageBreak/>
        <w:t>27.</w:t>
      </w:r>
      <w:r w:rsidRPr="00C51D72">
        <w:rPr>
          <w:rFonts w:cs="Times New Roman"/>
          <w:color w:val="000000"/>
          <w:szCs w:val="22"/>
          <w:u w:val="none"/>
        </w:rPr>
        <w:tab/>
      </w:r>
      <w:r w:rsidRPr="00C51D72">
        <w:rPr>
          <w:rFonts w:cs="Times New Roman"/>
          <w:caps/>
          <w:color w:val="000000"/>
          <w:szCs w:val="22"/>
        </w:rPr>
        <w:t>RÈGLEMENT-REDEVANCE COMMUNALE SUR LE TRAITEMENT DES DOSSIERS EN PERMIS ET/OU RENSEIGNEMENTS À FOURNIR DANS LE CADRE DU CODE DU DÉVELOPPEMENT TERRITORIAL - EXERCICE 2026 À 2031.</w:t>
      </w:r>
    </w:p>
    <w:p w14:paraId="21966DAA"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4563089" w14:textId="7C4A528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les articles 41, 162, , 173 et 190 ; </w:t>
      </w:r>
    </w:p>
    <w:p w14:paraId="25304F0D" w14:textId="4A4D18C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règlement (UE) 2016/679 du Parlement européen et du Conseil du 27 avril 2016 relatif à la protection des personnes physiques à l'égard des données à caractère personne et à la libre circulation de ces données, et abrogeant la directive 95/46/CE (règlement général sur la protection des données) entrée en vigueur le 25 mai 2018 ; </w:t>
      </w:r>
    </w:p>
    <w:p w14:paraId="6CE6AD31" w14:textId="0ABD51C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58B980B6" w14:textId="1BF823C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articles L1122-30 et L3131-1 § 1er 3° du Code de la Démocratie Locale et de la Décentralisation ; </w:t>
      </w:r>
    </w:p>
    <w:p w14:paraId="0D7E0968" w14:textId="198252C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Développement Territorial ; </w:t>
      </w:r>
    </w:p>
    <w:p w14:paraId="05CCC91F" w14:textId="37AD8371"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dispositions légales et réglementaires en vigueur en matière d'établissement et de recouvrement de redevances communales ; </w:t>
      </w:r>
    </w:p>
    <w:p w14:paraId="3A783907" w14:textId="16984AE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recommandations de la circulaire budgétaire du 11 septembre 2025 relative à l'élaboration des budgets des communes de la Région wallonne, pour l'année 2026 ; </w:t>
      </w:r>
    </w:p>
    <w:p w14:paraId="317AE821" w14:textId="6B7EA3B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les finances communales ; </w:t>
      </w:r>
    </w:p>
    <w:p w14:paraId="3F12914A" w14:textId="745B598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Revu sa délibération du 9 novembre 2023 par laquelle il arrête un règlement-redevance sur le traitement des dossiers de permis d’urbanisme et de renseignements urbanistiques ; </w:t>
      </w:r>
    </w:p>
    <w:p w14:paraId="693E3DD6" w14:textId="6F85825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qu’il convient d’adopter des tarifs correspondant aux coûts réels des prestations liées au traitement des dossiers d’urbanisme, et ce, dans le respect de la circulaire budgétaire précitée et des dispositions dudit Code ; </w:t>
      </w:r>
    </w:p>
    <w:p w14:paraId="3EBBB89A" w14:textId="6FE6A47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est équitable et de bonne gestion communale de ne pas faire supporter à l’ensemble des citoyens le coût de la procédure urbanistiques, mais de solliciter l’intervention du demandeur directement bénéficiaire de ladite procédure ; </w:t>
      </w:r>
    </w:p>
    <w:p w14:paraId="6AE9B57A" w14:textId="7E40471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Commune doit se doter des moyens nécessaires afin d’assurer l’exercice de la mission de service public ; </w:t>
      </w:r>
    </w:p>
    <w:p w14:paraId="1DFE3181" w14:textId="02F5144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recherche et la délivrance de renseignements demandés pour l'application du Code du Développement Territorial nécessite un travail important de la part du service compétent ; </w:t>
      </w:r>
    </w:p>
    <w:p w14:paraId="0093AF68" w14:textId="0F18B60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conformément à l’article D.I.13 du Code du Développement Territorial, tout envoi doit permettre de donner date certaine à l’envoi et à la réception de l’acte, quel que soit le service de distribution du courrier ; </w:t>
      </w:r>
    </w:p>
    <w:p w14:paraId="32B414A9" w14:textId="420CCFA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conformément aux articles D.IV.99 et D.IV.100 du CoDT, l’officier instrumentant, le titulaire du droit cédé ou son mandataire peut solliciter à l’administration communale les informations visées à l’article D.IV.100 ; </w:t>
      </w:r>
    </w:p>
    <w:p w14:paraId="513CD74C" w14:textId="00878D6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les régularisations engendrent de conséquentes recherches aux archives et dans les anciennes cartographies et qu'elles nécessitent une analyse complémentaire de nos services ;  </w:t>
      </w:r>
    </w:p>
    <w:p w14:paraId="26B3D9E2" w14:textId="6B49017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qu’en application de l’article L1124-40 §1, 3° du CDLD, l’avis du Receveur régional a été demandé en date du 29 octobre 2025 ; </w:t>
      </w:r>
    </w:p>
    <w:p w14:paraId="7B844DCE" w14:textId="6ACAD40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l’avis favorable rendu par le Receveur régional en date du 03 novembre 2025 et joint en annexe ; </w:t>
      </w:r>
    </w:p>
    <w:p w14:paraId="189B0054" w14:textId="0235F29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78A89BE0" w14:textId="6AA7FB5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Après en avoir délibéré ; </w:t>
      </w:r>
    </w:p>
    <w:p w14:paraId="41A3713B" w14:textId="4962482C"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À l’unanimité</w:t>
      </w:r>
      <w:r w:rsidRPr="003410F7">
        <w:rPr>
          <w:rFonts w:ascii="Times New Roman" w:hAnsi="Times New Roman" w:cs="Times New Roman"/>
          <w:b/>
          <w:bCs/>
          <w:sz w:val="22"/>
          <w:szCs w:val="22"/>
        </w:rPr>
        <w:t xml:space="preserve"> ; </w:t>
      </w:r>
    </w:p>
    <w:p w14:paraId="2F77B8A7" w14:textId="5A778B5C" w:rsidR="0022723E" w:rsidRPr="003410F7" w:rsidRDefault="003C36C7">
      <w:pPr>
        <w:pStyle w:val="whP2pod"/>
        <w:rPr>
          <w:rFonts w:ascii="Times New Roman" w:hAnsi="Times New Roman" w:cs="Times New Roman"/>
          <w:b/>
          <w:bCs/>
          <w:sz w:val="22"/>
          <w:szCs w:val="22"/>
        </w:rPr>
      </w:pPr>
      <w:r w:rsidRPr="003410F7">
        <w:rPr>
          <w:rStyle w:val="whP3pod"/>
          <w:rFonts w:ascii="Times New Roman" w:hAnsi="Times New Roman" w:cs="Times New Roman"/>
          <w:b w:val="0"/>
          <w:bCs/>
          <w:sz w:val="22"/>
          <w:szCs w:val="22"/>
        </w:rPr>
        <w:t>ARRÊTE :</w:t>
      </w:r>
      <w:r w:rsidRPr="003410F7">
        <w:rPr>
          <w:rFonts w:ascii="Times New Roman" w:hAnsi="Times New Roman" w:cs="Times New Roman"/>
          <w:b/>
          <w:bCs/>
          <w:sz w:val="22"/>
          <w:szCs w:val="22"/>
        </w:rPr>
        <w:t> </w:t>
      </w:r>
    </w:p>
    <w:p w14:paraId="03458F94" w14:textId="372A3E49"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1</w:t>
      </w:r>
      <w:r w:rsidRPr="00C51D72">
        <w:rPr>
          <w:rFonts w:ascii="Times New Roman" w:hAnsi="Times New Roman" w:cs="Times New Roman"/>
          <w:sz w:val="22"/>
          <w:szCs w:val="22"/>
        </w:rPr>
        <w:t>. – Il est établi au profit de la commune, dès l’entrée en vigueur du présent règlement et pour les exercices 2026 à 2031, une redevance communale sur le traitement des demandes urbanistiques sollicitées par l’officier instrumentant, le titulaire du droit cédé ou son mandataire et ce quelle que soit l’issue du dossier. </w:t>
      </w:r>
    </w:p>
    <w:p w14:paraId="43DC033B" w14:textId="6AA445A4"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2</w:t>
      </w:r>
      <w:r w:rsidRPr="00C51D72">
        <w:rPr>
          <w:rFonts w:ascii="Times New Roman" w:hAnsi="Times New Roman" w:cs="Times New Roman"/>
          <w:sz w:val="22"/>
          <w:szCs w:val="22"/>
        </w:rPr>
        <w:t>. – Le montant des différentes redevances est fixé comme suit : </w:t>
      </w:r>
    </w:p>
    <w:p w14:paraId="1A797688" w14:textId="3B109D97" w:rsidR="0022723E" w:rsidRPr="00C51D72" w:rsidRDefault="003C36C7" w:rsidP="003410F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a) </w:t>
      </w:r>
      <w:r w:rsidRPr="00C51D72">
        <w:rPr>
          <w:rStyle w:val="whP6pod"/>
          <w:rFonts w:ascii="Times New Roman" w:hAnsi="Times New Roman" w:cs="Times New Roman"/>
          <w:sz w:val="22"/>
          <w:szCs w:val="22"/>
        </w:rPr>
        <w:t>Permis d’urbanisme et autres documents délivrés par le Service de l’Urbanisme</w:t>
      </w:r>
      <w:r w:rsidRPr="00C51D72">
        <w:rPr>
          <w:rFonts w:ascii="Times New Roman" w:hAnsi="Times New Roman" w:cs="Times New Roman"/>
          <w:sz w:val="22"/>
          <w:szCs w:val="22"/>
        </w:rPr>
        <w:t> : </w:t>
      </w:r>
    </w:p>
    <w:tbl>
      <w:tblPr>
        <w:tblW w:w="10208" w:type="dxa"/>
        <w:tblInd w:w="-3" w:type="dxa"/>
        <w:tblLayout w:type="fixed"/>
        <w:tblCellMar>
          <w:left w:w="0" w:type="dxa"/>
          <w:right w:w="0" w:type="dxa"/>
        </w:tblCellMar>
        <w:tblLook w:val="04A0" w:firstRow="1" w:lastRow="0" w:firstColumn="1" w:lastColumn="0" w:noHBand="0" w:noVBand="1"/>
      </w:tblPr>
      <w:tblGrid>
        <w:gridCol w:w="4800"/>
        <w:gridCol w:w="5408"/>
      </w:tblGrid>
      <w:tr w:rsidR="0022723E" w:rsidRPr="00C51D72" w14:paraId="5F3EA746"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40C4F66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1.   Certificat d’informations notariales</w:t>
            </w:r>
          </w:p>
        </w:tc>
        <w:tc>
          <w:tcPr>
            <w:tcW w:w="5408" w:type="dxa"/>
            <w:tcBorders>
              <w:top w:val="single" w:sz="2" w:space="0" w:color="000000"/>
              <w:left w:val="single" w:sz="2" w:space="0" w:color="000000"/>
              <w:bottom w:val="single" w:sz="2" w:space="0" w:color="000000"/>
              <w:right w:val="single" w:sz="2" w:space="0" w:color="000000"/>
            </w:tcBorders>
          </w:tcPr>
          <w:p w14:paraId="5F2DB3B2"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60 € pour le premier bien d’une même propriétaire</w:t>
            </w:r>
          </w:p>
          <w:p w14:paraId="77538B2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5B0F438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+ 20 €</w:t>
            </w:r>
          </w:p>
          <w:p w14:paraId="739F119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par bien supplémentaire d’un même propriétaire formulé dans la même demande.</w:t>
            </w:r>
          </w:p>
          <w:p w14:paraId="3873F0B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52E6119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tc>
      </w:tr>
      <w:tr w:rsidR="0022723E" w:rsidRPr="00C51D72" w14:paraId="5EEB35B6"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01A41036"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2.   Demande de division </w:t>
            </w:r>
          </w:p>
        </w:tc>
        <w:tc>
          <w:tcPr>
            <w:tcW w:w="5408" w:type="dxa"/>
            <w:tcBorders>
              <w:top w:val="single" w:sz="2" w:space="0" w:color="000000"/>
              <w:left w:val="single" w:sz="2" w:space="0" w:color="000000"/>
              <w:bottom w:val="single" w:sz="2" w:space="0" w:color="000000"/>
              <w:right w:val="single" w:sz="2" w:space="0" w:color="000000"/>
            </w:tcBorders>
          </w:tcPr>
          <w:p w14:paraId="0E0E8AB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60 €</w:t>
            </w:r>
          </w:p>
        </w:tc>
      </w:tr>
      <w:tr w:rsidR="0022723E" w:rsidRPr="00C51D72" w14:paraId="1D4665C4"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0078802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3.   Certificat d’urbanisme n° 1 </w:t>
            </w:r>
          </w:p>
        </w:tc>
        <w:tc>
          <w:tcPr>
            <w:tcW w:w="5408" w:type="dxa"/>
            <w:tcBorders>
              <w:top w:val="single" w:sz="2" w:space="0" w:color="000000"/>
              <w:left w:val="single" w:sz="2" w:space="0" w:color="000000"/>
              <w:bottom w:val="single" w:sz="2" w:space="0" w:color="000000"/>
              <w:right w:val="single" w:sz="2" w:space="0" w:color="000000"/>
            </w:tcBorders>
          </w:tcPr>
          <w:p w14:paraId="29D9A2C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60 €</w:t>
            </w:r>
          </w:p>
        </w:tc>
      </w:tr>
      <w:tr w:rsidR="0022723E" w:rsidRPr="00C51D72" w14:paraId="76F6262C"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30BADB6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4.  - Certificat d’urbanisme n° 2</w:t>
            </w:r>
          </w:p>
          <w:p w14:paraId="0B7F82F4"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(sans publicité) </w:t>
            </w:r>
          </w:p>
        </w:tc>
        <w:tc>
          <w:tcPr>
            <w:tcW w:w="5408" w:type="dxa"/>
            <w:tcBorders>
              <w:top w:val="single" w:sz="2" w:space="0" w:color="000000"/>
              <w:left w:val="single" w:sz="2" w:space="0" w:color="000000"/>
              <w:bottom w:val="single" w:sz="2" w:space="0" w:color="000000"/>
              <w:right w:val="single" w:sz="2" w:space="0" w:color="000000"/>
            </w:tcBorders>
          </w:tcPr>
          <w:p w14:paraId="35CF90E3"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 100 €</w:t>
            </w:r>
          </w:p>
        </w:tc>
      </w:tr>
      <w:tr w:rsidR="0022723E" w:rsidRPr="00C51D72" w14:paraId="7F2C5EF0"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5C23561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 Certificat d’urbanisme n° 2</w:t>
            </w:r>
          </w:p>
          <w:p w14:paraId="52AA0CE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lastRenderedPageBreak/>
              <w:t>      (avec publicité)</w:t>
            </w:r>
          </w:p>
        </w:tc>
        <w:tc>
          <w:tcPr>
            <w:tcW w:w="5408" w:type="dxa"/>
            <w:tcBorders>
              <w:top w:val="single" w:sz="2" w:space="0" w:color="000000"/>
              <w:left w:val="single" w:sz="2" w:space="0" w:color="000000"/>
              <w:bottom w:val="single" w:sz="2" w:space="0" w:color="000000"/>
              <w:right w:val="single" w:sz="2" w:space="0" w:color="000000"/>
            </w:tcBorders>
          </w:tcPr>
          <w:p w14:paraId="60BE4A11"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lastRenderedPageBreak/>
              <w:t> 150 €</w:t>
            </w:r>
          </w:p>
        </w:tc>
      </w:tr>
      <w:tr w:rsidR="0022723E" w:rsidRPr="00C51D72" w14:paraId="66D1A1B9"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64432B8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5.    Organisation d’une réunion de projet</w:t>
            </w:r>
          </w:p>
        </w:tc>
        <w:tc>
          <w:tcPr>
            <w:tcW w:w="5408" w:type="dxa"/>
            <w:tcBorders>
              <w:top w:val="single" w:sz="2" w:space="0" w:color="000000"/>
              <w:left w:val="single" w:sz="2" w:space="0" w:color="000000"/>
              <w:bottom w:val="single" w:sz="2" w:space="0" w:color="000000"/>
              <w:right w:val="single" w:sz="2" w:space="0" w:color="000000"/>
            </w:tcBorders>
          </w:tcPr>
          <w:p w14:paraId="7FEA9E8E" w14:textId="77777777" w:rsidR="0022723E" w:rsidRPr="00C51D72" w:rsidRDefault="003C36C7">
            <w:pPr>
              <w:pStyle w:val="Tablecell"/>
              <w:rPr>
                <w:rFonts w:ascii="Times New Roman" w:hAnsi="Times New Roman" w:cs="Times New Roman"/>
                <w:sz w:val="22"/>
                <w:szCs w:val="22"/>
              </w:rPr>
            </w:pPr>
            <w:r w:rsidRPr="00C51D72">
              <w:rPr>
                <w:rFonts w:ascii="Times New Roman" w:hAnsi="Times New Roman" w:cs="Times New Roman"/>
                <w:sz w:val="22"/>
                <w:szCs w:val="22"/>
              </w:rPr>
              <w:t> 150 €</w:t>
            </w:r>
          </w:p>
        </w:tc>
      </w:tr>
      <w:tr w:rsidR="0022723E" w:rsidRPr="00C51D72" w14:paraId="2717D3AF"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1336250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6.    Demande d’avis de principe Collège</w:t>
            </w:r>
          </w:p>
        </w:tc>
        <w:tc>
          <w:tcPr>
            <w:tcW w:w="5408" w:type="dxa"/>
            <w:tcBorders>
              <w:top w:val="single" w:sz="2" w:space="0" w:color="000000"/>
              <w:left w:val="single" w:sz="2" w:space="0" w:color="000000"/>
              <w:bottom w:val="single" w:sz="2" w:space="0" w:color="000000"/>
              <w:right w:val="single" w:sz="2" w:space="0" w:color="000000"/>
            </w:tcBorders>
          </w:tcPr>
          <w:p w14:paraId="1F3749D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50 €</w:t>
            </w:r>
          </w:p>
        </w:tc>
      </w:tr>
      <w:tr w:rsidR="0022723E" w:rsidRPr="00C51D72" w14:paraId="135050C2"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5820A49C"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7.    </w:t>
            </w:r>
            <w:r w:rsidRPr="00C51D72">
              <w:rPr>
                <w:rStyle w:val="whP6pod"/>
                <w:rFonts w:ascii="Times New Roman" w:hAnsi="Times New Roman" w:cs="Times New Roman"/>
                <w:sz w:val="22"/>
                <w:szCs w:val="22"/>
              </w:rPr>
              <w:t>Permis d’urbanisme</w:t>
            </w:r>
          </w:p>
          <w:p w14:paraId="7757CBC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7E32CDE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Sans Fonctionnaire délégué, sans mesures particulières de publicité et sans avis</w:t>
            </w:r>
          </w:p>
          <w:p w14:paraId="7E1284D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277E14A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Avec avis de services spécifiques et/ou du Fonctionnaire délégué</w:t>
            </w:r>
          </w:p>
          <w:p w14:paraId="2AEC071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(sans mesures particulières de publicité)</w:t>
            </w:r>
          </w:p>
          <w:p w14:paraId="3BD8D9D1"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0929065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Avec avis de services spécifiques et/ou du Fonctionnaire délégué</w:t>
            </w:r>
          </w:p>
          <w:p w14:paraId="05E3E74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(avec mesures particulières de publicité)</w:t>
            </w:r>
          </w:p>
          <w:p w14:paraId="132D76A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522E8E6F"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5F1B0C04"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tc>
        <w:tc>
          <w:tcPr>
            <w:tcW w:w="5408" w:type="dxa"/>
            <w:tcBorders>
              <w:top w:val="single" w:sz="2" w:space="0" w:color="000000"/>
              <w:left w:val="single" w:sz="2" w:space="0" w:color="000000"/>
              <w:bottom w:val="single" w:sz="2" w:space="0" w:color="000000"/>
              <w:right w:val="single" w:sz="2" w:space="0" w:color="000000"/>
            </w:tcBorders>
          </w:tcPr>
          <w:p w14:paraId="2BA8F189"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0B46E6D2"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3A11B5C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75 €</w:t>
            </w:r>
          </w:p>
          <w:p w14:paraId="54780CBA"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1C8D2F9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45BE3D2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150 €</w:t>
            </w:r>
          </w:p>
          <w:p w14:paraId="2E3D0591"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760B63F0"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2E05ED5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2241A2CB" w14:textId="7A4DE12D"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200 €</w:t>
            </w:r>
          </w:p>
          <w:p w14:paraId="4B0F0A9B"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1B16B361"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p w14:paraId="50EC4643"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w:t>
            </w:r>
          </w:p>
        </w:tc>
      </w:tr>
      <w:tr w:rsidR="0022723E" w:rsidRPr="00C51D72" w14:paraId="1C32D2A6" w14:textId="77777777" w:rsidTr="00C55720">
        <w:tc>
          <w:tcPr>
            <w:tcW w:w="4800" w:type="dxa"/>
            <w:tcBorders>
              <w:top w:val="single" w:sz="2" w:space="0" w:color="000000"/>
              <w:left w:val="single" w:sz="2" w:space="0" w:color="000000"/>
              <w:bottom w:val="single" w:sz="2" w:space="0" w:color="000000"/>
              <w:right w:val="single" w:sz="2" w:space="0" w:color="000000"/>
            </w:tcBorders>
          </w:tcPr>
          <w:p w14:paraId="0B36E2D8"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8.  Permis de location</w:t>
            </w:r>
          </w:p>
        </w:tc>
        <w:tc>
          <w:tcPr>
            <w:tcW w:w="5408" w:type="dxa"/>
            <w:tcBorders>
              <w:top w:val="single" w:sz="2" w:space="0" w:color="000000"/>
              <w:left w:val="single" w:sz="2" w:space="0" w:color="000000"/>
              <w:bottom w:val="single" w:sz="2" w:space="0" w:color="000000"/>
              <w:right w:val="single" w:sz="2" w:space="0" w:color="000000"/>
            </w:tcBorders>
          </w:tcPr>
          <w:p w14:paraId="53A92D11"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150 €</w:t>
            </w:r>
          </w:p>
        </w:tc>
      </w:tr>
    </w:tbl>
    <w:p w14:paraId="64C7EC3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w:t>
      </w:r>
    </w:p>
    <w:p w14:paraId="64BEDA5E"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 xml:space="preserve">b) Procédures spécifiques (frais </w:t>
      </w:r>
      <w:r w:rsidRPr="003410F7">
        <w:rPr>
          <w:rStyle w:val="whP1pod"/>
          <w:rFonts w:ascii="Times New Roman" w:hAnsi="Times New Roman" w:cs="Times New Roman"/>
          <w:b w:val="0"/>
          <w:bCs/>
          <w:sz w:val="22"/>
          <w:szCs w:val="22"/>
        </w:rPr>
        <w:t>complémentaires</w:t>
      </w:r>
      <w:r w:rsidRPr="00C51D72">
        <w:rPr>
          <w:rStyle w:val="whP6pod"/>
          <w:rFonts w:ascii="Times New Roman" w:hAnsi="Times New Roman" w:cs="Times New Roman"/>
          <w:sz w:val="22"/>
          <w:szCs w:val="22"/>
        </w:rPr>
        <w:t xml:space="preserve"> au coût d’instruction du certificat et/ou permis visé supra) </w:t>
      </w:r>
      <w:r w:rsidRPr="00C51D72">
        <w:rPr>
          <w:rFonts w:ascii="Times New Roman" w:hAnsi="Times New Roman" w:cs="Times New Roman"/>
          <w:sz w:val="22"/>
          <w:szCs w:val="22"/>
        </w:rPr>
        <w:t>: </w:t>
      </w:r>
    </w:p>
    <w:p w14:paraId="08CC2BCF" w14:textId="77777777" w:rsidR="0022723E" w:rsidRPr="00C51D72" w:rsidRDefault="003C36C7">
      <w:pPr>
        <w:pStyle w:val="whP36pod"/>
        <w:rPr>
          <w:rFonts w:ascii="Times New Roman" w:hAnsi="Times New Roman" w:cs="Times New Roman"/>
          <w:sz w:val="22"/>
          <w:szCs w:val="22"/>
        </w:rPr>
      </w:pPr>
      <w:r w:rsidRPr="00C51D72">
        <w:rPr>
          <w:rFonts w:ascii="Times New Roman" w:hAnsi="Times New Roman" w:cs="Times New Roman"/>
          <w:sz w:val="22"/>
          <w:szCs w:val="22"/>
        </w:rPr>
        <w:t> </w:t>
      </w:r>
    </w:p>
    <w:tbl>
      <w:tblPr>
        <w:tblW w:w="9899" w:type="dxa"/>
        <w:tblInd w:w="306" w:type="dxa"/>
        <w:tblLayout w:type="fixed"/>
        <w:tblCellMar>
          <w:left w:w="0" w:type="dxa"/>
          <w:right w:w="0" w:type="dxa"/>
        </w:tblCellMar>
        <w:tblLook w:val="04A0" w:firstRow="1" w:lastRow="0" w:firstColumn="1" w:lastColumn="0" w:noHBand="0" w:noVBand="1"/>
      </w:tblPr>
      <w:tblGrid>
        <w:gridCol w:w="6665"/>
        <w:gridCol w:w="3234"/>
      </w:tblGrid>
      <w:tr w:rsidR="0022723E" w:rsidRPr="00C51D72" w14:paraId="0C4B981C" w14:textId="77777777">
        <w:tc>
          <w:tcPr>
            <w:tcW w:w="6665" w:type="dxa"/>
            <w:tcBorders>
              <w:top w:val="single" w:sz="2" w:space="0" w:color="000000"/>
              <w:left w:val="single" w:sz="2" w:space="0" w:color="000000"/>
              <w:bottom w:val="single" w:sz="2" w:space="0" w:color="000000"/>
              <w:right w:val="single" w:sz="2" w:space="0" w:color="000000"/>
            </w:tcBorders>
          </w:tcPr>
          <w:p w14:paraId="1BB947A5" w14:textId="77777777" w:rsidR="0022723E" w:rsidRPr="00C51D72" w:rsidRDefault="003C36C7">
            <w:pPr>
              <w:pStyle w:val="whP9pod"/>
              <w:rPr>
                <w:rFonts w:ascii="Times New Roman" w:hAnsi="Times New Roman" w:cs="Times New Roman"/>
                <w:sz w:val="22"/>
                <w:szCs w:val="22"/>
              </w:rPr>
            </w:pPr>
            <w:r w:rsidRPr="00C51D72">
              <w:rPr>
                <w:rStyle w:val="whP6pod"/>
                <w:rFonts w:ascii="Times New Roman" w:hAnsi="Times New Roman" w:cs="Times New Roman"/>
                <w:sz w:val="22"/>
                <w:szCs w:val="22"/>
              </w:rPr>
              <w:t>Procédure plans modifiés</w:t>
            </w:r>
          </w:p>
        </w:tc>
        <w:tc>
          <w:tcPr>
            <w:tcW w:w="3234" w:type="dxa"/>
            <w:tcBorders>
              <w:top w:val="single" w:sz="2" w:space="0" w:color="000000"/>
              <w:left w:val="single" w:sz="2" w:space="0" w:color="000000"/>
              <w:bottom w:val="single" w:sz="2" w:space="0" w:color="000000"/>
              <w:right w:val="single" w:sz="2" w:space="0" w:color="000000"/>
            </w:tcBorders>
          </w:tcPr>
          <w:p w14:paraId="2DFE3532" w14:textId="77777777" w:rsidR="0022723E" w:rsidRPr="00C51D72" w:rsidRDefault="003C36C7">
            <w:pPr>
              <w:pStyle w:val="whP37pod"/>
              <w:rPr>
                <w:rFonts w:ascii="Times New Roman" w:hAnsi="Times New Roman" w:cs="Times New Roman"/>
                <w:sz w:val="22"/>
                <w:szCs w:val="22"/>
              </w:rPr>
            </w:pPr>
            <w:r w:rsidRPr="00C51D72">
              <w:rPr>
                <w:rFonts w:ascii="Times New Roman" w:hAnsi="Times New Roman" w:cs="Times New Roman"/>
                <w:sz w:val="22"/>
                <w:szCs w:val="22"/>
              </w:rPr>
              <w:t>  +50 €</w:t>
            </w:r>
          </w:p>
        </w:tc>
      </w:tr>
      <w:tr w:rsidR="0022723E" w:rsidRPr="00C51D72" w14:paraId="7DB18715" w14:textId="77777777">
        <w:tc>
          <w:tcPr>
            <w:tcW w:w="6665" w:type="dxa"/>
            <w:tcBorders>
              <w:top w:val="single" w:sz="2" w:space="0" w:color="000000"/>
              <w:left w:val="single" w:sz="2" w:space="0" w:color="000000"/>
              <w:bottom w:val="single" w:sz="2" w:space="0" w:color="000000"/>
              <w:right w:val="single" w:sz="2" w:space="0" w:color="000000"/>
            </w:tcBorders>
          </w:tcPr>
          <w:p w14:paraId="4B170E96" w14:textId="77777777" w:rsidR="0022723E" w:rsidRPr="00C51D72" w:rsidRDefault="003C36C7">
            <w:pPr>
              <w:pStyle w:val="whP9pod"/>
              <w:rPr>
                <w:rFonts w:ascii="Times New Roman" w:hAnsi="Times New Roman" w:cs="Times New Roman"/>
                <w:sz w:val="22"/>
                <w:szCs w:val="22"/>
              </w:rPr>
            </w:pPr>
            <w:r w:rsidRPr="00C51D72">
              <w:rPr>
                <w:rStyle w:val="whP6pod"/>
                <w:rFonts w:ascii="Times New Roman" w:hAnsi="Times New Roman" w:cs="Times New Roman"/>
                <w:sz w:val="22"/>
                <w:szCs w:val="22"/>
              </w:rPr>
              <w:t>Permis d’urbanisme</w:t>
            </w:r>
            <w:r w:rsidRPr="00C51D72">
              <w:rPr>
                <w:rFonts w:ascii="Times New Roman" w:hAnsi="Times New Roman" w:cs="Times New Roman"/>
                <w:sz w:val="22"/>
                <w:szCs w:val="22"/>
              </w:rPr>
              <w:t xml:space="preserve"> d’immeubles à appartements et/ou de maisons groupées</w:t>
            </w:r>
          </w:p>
        </w:tc>
        <w:tc>
          <w:tcPr>
            <w:tcW w:w="3234" w:type="dxa"/>
            <w:tcBorders>
              <w:top w:val="single" w:sz="2" w:space="0" w:color="000000"/>
              <w:left w:val="single" w:sz="2" w:space="0" w:color="000000"/>
              <w:bottom w:val="single" w:sz="2" w:space="0" w:color="000000"/>
              <w:right w:val="single" w:sz="2" w:space="0" w:color="000000"/>
            </w:tcBorders>
          </w:tcPr>
          <w:p w14:paraId="4E9774F8" w14:textId="77777777" w:rsidR="0022723E" w:rsidRPr="00C51D72" w:rsidRDefault="003C36C7">
            <w:pPr>
              <w:pStyle w:val="whP37pod"/>
              <w:rPr>
                <w:rFonts w:ascii="Times New Roman" w:hAnsi="Times New Roman" w:cs="Times New Roman"/>
                <w:sz w:val="22"/>
                <w:szCs w:val="22"/>
              </w:rPr>
            </w:pPr>
            <w:r w:rsidRPr="00C51D72">
              <w:rPr>
                <w:rFonts w:ascii="Times New Roman" w:hAnsi="Times New Roman" w:cs="Times New Roman"/>
                <w:sz w:val="22"/>
                <w:szCs w:val="22"/>
              </w:rPr>
              <w:t>   +150 €</w:t>
            </w:r>
          </w:p>
          <w:p w14:paraId="236F3E30" w14:textId="77777777" w:rsidR="0022723E" w:rsidRPr="00C51D72" w:rsidRDefault="003C36C7">
            <w:pPr>
              <w:pStyle w:val="whP37pod"/>
              <w:rPr>
                <w:rFonts w:ascii="Times New Roman" w:hAnsi="Times New Roman" w:cs="Times New Roman"/>
                <w:sz w:val="22"/>
                <w:szCs w:val="22"/>
              </w:rPr>
            </w:pPr>
            <w:r w:rsidRPr="00C51D72">
              <w:rPr>
                <w:rFonts w:ascii="Times New Roman" w:hAnsi="Times New Roman" w:cs="Times New Roman"/>
                <w:sz w:val="22"/>
                <w:szCs w:val="22"/>
              </w:rPr>
              <w:t>par logement</w:t>
            </w:r>
          </w:p>
        </w:tc>
      </w:tr>
      <w:tr w:rsidR="0022723E" w:rsidRPr="00C51D72" w14:paraId="7B39E442" w14:textId="77777777">
        <w:tc>
          <w:tcPr>
            <w:tcW w:w="6665" w:type="dxa"/>
            <w:tcBorders>
              <w:top w:val="single" w:sz="2" w:space="0" w:color="000000"/>
              <w:left w:val="single" w:sz="2" w:space="0" w:color="000000"/>
              <w:bottom w:val="single" w:sz="2" w:space="0" w:color="000000"/>
              <w:right w:val="single" w:sz="2" w:space="0" w:color="000000"/>
            </w:tcBorders>
          </w:tcPr>
          <w:p w14:paraId="1E98340E"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Permis d’urbanisation</w:t>
            </w:r>
          </w:p>
        </w:tc>
        <w:tc>
          <w:tcPr>
            <w:tcW w:w="3234" w:type="dxa"/>
            <w:tcBorders>
              <w:top w:val="single" w:sz="2" w:space="0" w:color="000000"/>
              <w:left w:val="single" w:sz="2" w:space="0" w:color="000000"/>
              <w:bottom w:val="single" w:sz="2" w:space="0" w:color="000000"/>
              <w:right w:val="single" w:sz="2" w:space="0" w:color="000000"/>
            </w:tcBorders>
          </w:tcPr>
          <w:p w14:paraId="5011C7A4"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+ 150 €</w:t>
            </w:r>
          </w:p>
          <w:p w14:paraId="5524AE27"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par logement</w:t>
            </w:r>
          </w:p>
        </w:tc>
      </w:tr>
      <w:tr w:rsidR="0022723E" w:rsidRPr="00C51D72" w14:paraId="284EA994" w14:textId="77777777">
        <w:tc>
          <w:tcPr>
            <w:tcW w:w="6665" w:type="dxa"/>
            <w:tcBorders>
              <w:top w:val="single" w:sz="2" w:space="0" w:color="000000"/>
              <w:left w:val="single" w:sz="2" w:space="0" w:color="000000"/>
              <w:bottom w:val="single" w:sz="2" w:space="0" w:color="000000"/>
              <w:right w:val="single" w:sz="2" w:space="0" w:color="000000"/>
            </w:tcBorders>
          </w:tcPr>
          <w:p w14:paraId="76F6ACDD"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Permis d’urbanisme/urbanisation soumis à étude d’incidence </w:t>
            </w:r>
          </w:p>
        </w:tc>
        <w:tc>
          <w:tcPr>
            <w:tcW w:w="3234" w:type="dxa"/>
            <w:tcBorders>
              <w:top w:val="single" w:sz="2" w:space="0" w:color="000000"/>
              <w:left w:val="single" w:sz="2" w:space="0" w:color="000000"/>
              <w:bottom w:val="single" w:sz="2" w:space="0" w:color="000000"/>
              <w:right w:val="single" w:sz="2" w:space="0" w:color="000000"/>
            </w:tcBorders>
          </w:tcPr>
          <w:p w14:paraId="705281E9"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+ 750 €</w:t>
            </w:r>
          </w:p>
        </w:tc>
      </w:tr>
      <w:tr w:rsidR="0022723E" w:rsidRPr="00C51D72" w14:paraId="082BF4CE" w14:textId="77777777">
        <w:tc>
          <w:tcPr>
            <w:tcW w:w="6665" w:type="dxa"/>
            <w:tcBorders>
              <w:top w:val="single" w:sz="2" w:space="0" w:color="000000"/>
              <w:left w:val="single" w:sz="2" w:space="0" w:color="000000"/>
              <w:bottom w:val="single" w:sz="2" w:space="0" w:color="000000"/>
              <w:right w:val="single" w:sz="2" w:space="0" w:color="000000"/>
            </w:tcBorders>
          </w:tcPr>
          <w:p w14:paraId="6CCC55D3"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Permis de régularisation spontanée/à l’analyse d’une demande en permis d’urbanisme</w:t>
            </w:r>
          </w:p>
          <w:p w14:paraId="76056F4B"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(superficie relative à l’augmentation d’emprise au sol, création de logements supplémentaires et / ou changement d’affectation)</w:t>
            </w:r>
          </w:p>
        </w:tc>
        <w:tc>
          <w:tcPr>
            <w:tcW w:w="3234" w:type="dxa"/>
            <w:tcBorders>
              <w:top w:val="single" w:sz="2" w:space="0" w:color="000000"/>
              <w:left w:val="single" w:sz="2" w:space="0" w:color="000000"/>
              <w:bottom w:val="single" w:sz="2" w:space="0" w:color="000000"/>
              <w:right w:val="single" w:sz="2" w:space="0" w:color="000000"/>
            </w:tcBorders>
          </w:tcPr>
          <w:p w14:paraId="498B82F6"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 </w:t>
            </w:r>
          </w:p>
        </w:tc>
      </w:tr>
      <w:tr w:rsidR="0022723E" w:rsidRPr="00C51D72" w14:paraId="3C78635E" w14:textId="77777777">
        <w:tc>
          <w:tcPr>
            <w:tcW w:w="6665" w:type="dxa"/>
            <w:tcBorders>
              <w:top w:val="single" w:sz="2" w:space="0" w:color="000000"/>
              <w:left w:val="single" w:sz="2" w:space="0" w:color="000000"/>
              <w:bottom w:val="single" w:sz="2" w:space="0" w:color="000000"/>
              <w:right w:val="single" w:sz="2" w:space="0" w:color="000000"/>
            </w:tcBorders>
          </w:tcPr>
          <w:p w14:paraId="195B49B9"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Régularisation ≤ 30 m²</w:t>
            </w:r>
          </w:p>
        </w:tc>
        <w:tc>
          <w:tcPr>
            <w:tcW w:w="3234" w:type="dxa"/>
            <w:tcBorders>
              <w:top w:val="single" w:sz="2" w:space="0" w:color="000000"/>
              <w:left w:val="single" w:sz="2" w:space="0" w:color="000000"/>
              <w:bottom w:val="single" w:sz="2" w:space="0" w:color="000000"/>
              <w:right w:val="single" w:sz="2" w:space="0" w:color="000000"/>
            </w:tcBorders>
          </w:tcPr>
          <w:p w14:paraId="5E27EB3D"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+ 100 €</w:t>
            </w:r>
          </w:p>
        </w:tc>
      </w:tr>
      <w:tr w:rsidR="0022723E" w:rsidRPr="00C51D72" w14:paraId="4C85ADFC" w14:textId="77777777">
        <w:tc>
          <w:tcPr>
            <w:tcW w:w="6665" w:type="dxa"/>
            <w:tcBorders>
              <w:top w:val="single" w:sz="2" w:space="0" w:color="000000"/>
              <w:left w:val="single" w:sz="2" w:space="0" w:color="000000"/>
              <w:bottom w:val="single" w:sz="2" w:space="0" w:color="000000"/>
              <w:right w:val="single" w:sz="2" w:space="0" w:color="000000"/>
            </w:tcBorders>
          </w:tcPr>
          <w:p w14:paraId="7188EFAD" w14:textId="77777777" w:rsidR="0022723E" w:rsidRPr="00C51D72" w:rsidRDefault="003C36C7">
            <w:pPr>
              <w:pStyle w:val="whP9pod"/>
              <w:rPr>
                <w:rFonts w:ascii="Times New Roman" w:hAnsi="Times New Roman" w:cs="Times New Roman"/>
                <w:sz w:val="22"/>
                <w:szCs w:val="22"/>
              </w:rPr>
            </w:pPr>
            <w:r w:rsidRPr="00C51D72">
              <w:rPr>
                <w:rFonts w:ascii="Times New Roman" w:hAnsi="Times New Roman" w:cs="Times New Roman"/>
                <w:sz w:val="22"/>
                <w:szCs w:val="22"/>
              </w:rPr>
              <w:t>Régularisation &gt; 30 m²</w:t>
            </w:r>
          </w:p>
        </w:tc>
        <w:tc>
          <w:tcPr>
            <w:tcW w:w="3234" w:type="dxa"/>
            <w:tcBorders>
              <w:top w:val="single" w:sz="2" w:space="0" w:color="000000"/>
              <w:left w:val="single" w:sz="2" w:space="0" w:color="000000"/>
              <w:bottom w:val="single" w:sz="2" w:space="0" w:color="000000"/>
              <w:right w:val="single" w:sz="2" w:space="0" w:color="000000"/>
            </w:tcBorders>
          </w:tcPr>
          <w:p w14:paraId="2D5FBA95" w14:textId="77777777" w:rsidR="0022723E" w:rsidRPr="00C51D72" w:rsidRDefault="003C36C7">
            <w:pPr>
              <w:pStyle w:val="whP7pod"/>
              <w:rPr>
                <w:rFonts w:ascii="Times New Roman" w:hAnsi="Times New Roman" w:cs="Times New Roman"/>
                <w:sz w:val="22"/>
                <w:szCs w:val="22"/>
              </w:rPr>
            </w:pPr>
            <w:r w:rsidRPr="00C51D72">
              <w:rPr>
                <w:rFonts w:ascii="Times New Roman" w:hAnsi="Times New Roman" w:cs="Times New Roman"/>
                <w:sz w:val="22"/>
                <w:szCs w:val="22"/>
              </w:rPr>
              <w:t>  + 500 €</w:t>
            </w:r>
          </w:p>
        </w:tc>
      </w:tr>
    </w:tbl>
    <w:p w14:paraId="3F707DCE" w14:textId="77777777" w:rsidR="0022723E" w:rsidRPr="00C51D72" w:rsidRDefault="003C36C7">
      <w:pPr>
        <w:pStyle w:val="whP36pod"/>
        <w:rPr>
          <w:rFonts w:ascii="Times New Roman" w:hAnsi="Times New Roman" w:cs="Times New Roman"/>
          <w:sz w:val="22"/>
          <w:szCs w:val="22"/>
        </w:rPr>
      </w:pPr>
      <w:r w:rsidRPr="00C51D72">
        <w:rPr>
          <w:rFonts w:ascii="Times New Roman" w:hAnsi="Times New Roman" w:cs="Times New Roman"/>
          <w:sz w:val="22"/>
          <w:szCs w:val="22"/>
        </w:rPr>
        <w:t> </w:t>
      </w:r>
    </w:p>
    <w:p w14:paraId="14A08AC8" w14:textId="4BE68A8E"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c) Si le traitement du dossier entraine une dépense supérieure aux taux forfaitaires prévus pour la catégorie concernée, le cout sera facturé sur base d’un décompte des frais réels afin de récupérer la différence entre le cout réel et le forfait établi.</w:t>
      </w:r>
      <w:r w:rsidRPr="00C51D72">
        <w:rPr>
          <w:rFonts w:ascii="Times New Roman" w:hAnsi="Times New Roman" w:cs="Times New Roman"/>
          <w:sz w:val="22"/>
          <w:szCs w:val="22"/>
        </w:rPr>
        <w:t> </w:t>
      </w:r>
    </w:p>
    <w:p w14:paraId="6DF8E79B"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3</w:t>
      </w:r>
      <w:r w:rsidRPr="00C51D72">
        <w:rPr>
          <w:rFonts w:ascii="Times New Roman" w:hAnsi="Times New Roman" w:cs="Times New Roman"/>
          <w:sz w:val="22"/>
          <w:szCs w:val="22"/>
        </w:rPr>
        <w:t>. –</w:t>
      </w:r>
    </w:p>
    <w:p w14:paraId="4940228B" w14:textId="077A6AB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redevance est due par la personne physique ou morale qui introduit la demande. </w:t>
      </w:r>
    </w:p>
    <w:p w14:paraId="32CF2F29" w14:textId="7E5DE06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La redevance est payable dans les 15 jours de la réception de l’accusé de réception ou de la délivrance des renseignements sollicités (certificats d'informations notariales) sur le compte de la Commune. </w:t>
      </w:r>
    </w:p>
    <w:p w14:paraId="2D2AF618" w14:textId="7276A00A"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Dans le cas où, le dossier entraine une dépense supérieure aux taux forfaitaires prévus, l’administration adresse une facture reprenant les frais réels. Cette facture est payable dans les 15 jours de son envoi et selon les modalités figurant sur celle-ci. </w:t>
      </w:r>
    </w:p>
    <w:p w14:paraId="642FB2E2"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4</w:t>
      </w:r>
      <w:r w:rsidRPr="00C51D72">
        <w:rPr>
          <w:rFonts w:ascii="Times New Roman" w:hAnsi="Times New Roman" w:cs="Times New Roman"/>
          <w:sz w:val="22"/>
          <w:szCs w:val="22"/>
        </w:rPr>
        <w:t>. –</w:t>
      </w:r>
    </w:p>
    <w:p w14:paraId="14EE82D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À défaut de paiement à l’échéance, dans le cadre du recouvrement amiable, un rappel gratuit, par pli simple sera envoyé au redevable.</w:t>
      </w:r>
    </w:p>
    <w:p w14:paraId="1D1E1373"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En cas de non-paiement de ce rappel dans les 14 jours calendrier qui prend cours le 3ème jour ouvrable qui suit celui où ledit rappel est envoyé conformément aux dispositions de l’article L1124-40 §1er 1° du Code de la Démocratie locale et de la Décentralisation, le débiteur sera mis en demeure par courrier recommandé.</w:t>
      </w:r>
    </w:p>
    <w:p w14:paraId="25DCF619"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Les frais administratifs inhérents à cet envoi seront mis à charge du redevable et s’élèveront à 15€. Ce montant sera ajouté au principal sur le document de rappel.</w:t>
      </w:r>
    </w:p>
    <w:p w14:paraId="4CCB8E71" w14:textId="665E4B3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Dans les cas non prévus par cette disposition, le recouvrement sera poursuivi devant les juridictions civiles compétentes </w:t>
      </w:r>
    </w:p>
    <w:p w14:paraId="3824590C" w14:textId="7777777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5 :</w:t>
      </w:r>
    </w:p>
    <w:p w14:paraId="6578EC96"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Le traitement de données à caractère personnel nécessaire à la mise en œuvre du présent règlement se fera suivant les règles suivantes :</w:t>
      </w:r>
    </w:p>
    <w:p w14:paraId="6B191E6A"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 ;</w:t>
      </w:r>
    </w:p>
    <w:p w14:paraId="3DB0C63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  Finalité du traitement : établissement et recouvrement de la taxe redevance ;</w:t>
      </w:r>
    </w:p>
    <w:p w14:paraId="41B1E435"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 de données : données d’identification ;</w:t>
      </w:r>
    </w:p>
    <w:p w14:paraId="608C9B1F"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s’engage à conserver les données pour un délai de 30 ans et à les supprimer par la suite ou à les transférer aux archives de l’Etat selon les instructions reçues de cette administration ;</w:t>
      </w:r>
    </w:p>
    <w:p w14:paraId="0D27D440"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recensement par la commune ;</w:t>
      </w:r>
    </w:p>
    <w:p w14:paraId="27327C53" w14:textId="4A7870D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4185042F" w14:textId="098CFB17" w:rsidR="0022723E" w:rsidRPr="00C51D72" w:rsidRDefault="003C36C7">
      <w:pPr>
        <w:pStyle w:val="whP2pod"/>
        <w:rPr>
          <w:rFonts w:ascii="Times New Roman" w:hAnsi="Times New Roman" w:cs="Times New Roman"/>
          <w:sz w:val="22"/>
          <w:szCs w:val="22"/>
        </w:rPr>
      </w:pPr>
      <w:r w:rsidRPr="00C51D72">
        <w:rPr>
          <w:rStyle w:val="whP6pod"/>
          <w:rFonts w:ascii="Times New Roman" w:hAnsi="Times New Roman" w:cs="Times New Roman"/>
          <w:sz w:val="22"/>
          <w:szCs w:val="22"/>
        </w:rPr>
        <w:t>Article 6</w:t>
      </w:r>
      <w:r w:rsidRPr="00C51D72">
        <w:rPr>
          <w:rFonts w:ascii="Times New Roman" w:hAnsi="Times New Roman" w:cs="Times New Roman"/>
          <w:sz w:val="22"/>
          <w:szCs w:val="22"/>
        </w:rPr>
        <w:t>. – La présente délibération sera transmise simultanément au Gouvernement wallon conformément aux articles L3131-1 et suivants dans le cadre de la tutelle spéciale d’approbation. </w:t>
      </w:r>
    </w:p>
    <w:p w14:paraId="78D37F3B" w14:textId="2DE1B410" w:rsidR="0022723E" w:rsidRPr="00C51D72" w:rsidRDefault="003C36C7" w:rsidP="003410F7">
      <w:pPr>
        <w:pStyle w:val="whP2pod"/>
        <w:rPr>
          <w:rFonts w:ascii="Times New Roman" w:hAnsi="Times New Roman" w:cs="Times New Roman"/>
          <w:color w:val="000000"/>
          <w:sz w:val="22"/>
          <w:szCs w:val="22"/>
        </w:rPr>
      </w:pPr>
      <w:r w:rsidRPr="00C51D72">
        <w:rPr>
          <w:rStyle w:val="whP6pod"/>
          <w:rFonts w:ascii="Times New Roman" w:hAnsi="Times New Roman" w:cs="Times New Roman"/>
          <w:sz w:val="22"/>
          <w:szCs w:val="22"/>
        </w:rPr>
        <w:t>Article 7</w:t>
      </w:r>
      <w:r w:rsidRPr="00C51D72">
        <w:rPr>
          <w:rFonts w:ascii="Times New Roman" w:hAnsi="Times New Roman" w:cs="Times New Roman"/>
          <w:sz w:val="22"/>
          <w:szCs w:val="22"/>
        </w:rPr>
        <w:t>. - La présente délibération sera publiée conformément aux articles L1133-1 et L1133-2 du Code de la Démocratie Locale et de la Décentralisation.</w:t>
      </w:r>
    </w:p>
    <w:p w14:paraId="64C4EE32"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71F2E66D" w14:textId="77777777" w:rsidR="0022723E" w:rsidRPr="00C51D72" w:rsidRDefault="003C36C7">
      <w:pPr>
        <w:pStyle w:val="Titre2"/>
        <w:tabs>
          <w:tab w:val="left" w:pos="1020"/>
        </w:tabs>
        <w:spacing w:before="0" w:after="113"/>
        <w:ind w:left="510" w:hanging="510"/>
        <w:jc w:val="both"/>
        <w:rPr>
          <w:rFonts w:cs="Times New Roman"/>
          <w:szCs w:val="22"/>
        </w:rPr>
      </w:pPr>
      <w:bookmarkStart w:id="27" w:name="__RefHeading___Toc1768_349934923627"/>
      <w:bookmarkEnd w:id="27"/>
      <w:r w:rsidRPr="00C51D72">
        <w:rPr>
          <w:rFonts w:cs="Times New Roman"/>
          <w:color w:val="000000"/>
          <w:szCs w:val="22"/>
          <w:u w:val="none"/>
        </w:rPr>
        <w:t>28.</w:t>
      </w:r>
      <w:r w:rsidRPr="00C51D72">
        <w:rPr>
          <w:rFonts w:cs="Times New Roman"/>
          <w:color w:val="000000"/>
          <w:szCs w:val="22"/>
          <w:u w:val="none"/>
        </w:rPr>
        <w:tab/>
      </w:r>
      <w:r w:rsidRPr="00C51D72">
        <w:rPr>
          <w:rFonts w:cs="Times New Roman"/>
          <w:caps/>
          <w:color w:val="000000"/>
          <w:szCs w:val="22"/>
        </w:rPr>
        <w:t>RÈGLEMENT ÉTABLISSANT UNE REDEVANCE POUR LA PRÉSENCE DES ENFANTS AUX GARDERIES SCOLAIRES DES IMPLANTATIONS COMMUNALES DE REMICOURT ET DE MOMALLE - EXERCICES 2026 À 2031.</w:t>
      </w:r>
    </w:p>
    <w:p w14:paraId="0E7EE3E1"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4ADD2BB9" w14:textId="4EBF36E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Constitution et en particulier les articles 41, 162 et 173 ; </w:t>
      </w:r>
    </w:p>
    <w:p w14:paraId="22549B6F" w14:textId="18A903B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et en particulier les articles L1122-30 et L3131-1 §1,3° ; </w:t>
      </w:r>
    </w:p>
    <w:p w14:paraId="5FE3976B" w14:textId="27017E18"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Décret du 14 décembre 2000 (M.B. 18.01.2001) et la loi du 24 juin 2000 (M.B. 23.09.2004)) portant assentiment de la Charte européenne de l’autonomie locale, notamment l’article 9.1. de la Charte ; </w:t>
      </w:r>
    </w:p>
    <w:p w14:paraId="39AEE626" w14:textId="7F4F320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Circulaire du 11 septembre 2025 relative à l’élaboration des budgets des communes de la Région wallonne pour l’année 2026 ; </w:t>
      </w:r>
    </w:p>
    <w:p w14:paraId="34D5A9ED" w14:textId="1C3F82E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le principe de l’autonomie communale ; </w:t>
      </w:r>
    </w:p>
    <w:p w14:paraId="787F1538" w14:textId="4B8C8BB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la Commune doit se doter des moyens nécessaires afin d’assurer sa mission de service public ; </w:t>
      </w:r>
    </w:p>
    <w:p w14:paraId="396C0D92" w14:textId="69D9AC9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que l’organisation d’une garderie avant/après les cours engendre un coût pour la commune ; </w:t>
      </w:r>
    </w:p>
    <w:p w14:paraId="2BF9FA5F" w14:textId="5EC03D3B"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qu’il est nécessaire de répercuter ce coût sur l’utilisateur ; </w:t>
      </w:r>
    </w:p>
    <w:p w14:paraId="0FCB32E3" w14:textId="0FF9E8B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demande d’avis de légalité faite au Directeur Financier le 29 octobre 2025, conformément à l’article L 1124-40 § 1, 3° et 4° du CDLD ; </w:t>
      </w:r>
    </w:p>
    <w:p w14:paraId="2341D6BA" w14:textId="0162482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le Directeur Financier a remis un avis favorable le 03 novembre 2025 ; </w:t>
      </w:r>
    </w:p>
    <w:p w14:paraId="779B496C" w14:textId="327670B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et après en avoir délibéré ; </w:t>
      </w:r>
    </w:p>
    <w:p w14:paraId="4F29B6EF" w14:textId="04CFA61B" w:rsidR="0022723E" w:rsidRPr="00C51D72"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t>Par 9 voix Pour et 6 voix Contre</w:t>
      </w:r>
      <w:r w:rsidRPr="00C51D72">
        <w:rPr>
          <w:rStyle w:val="whP3pod"/>
          <w:rFonts w:ascii="Times New Roman" w:hAnsi="Times New Roman" w:cs="Times New Roman"/>
          <w:sz w:val="22"/>
          <w:szCs w:val="22"/>
        </w:rPr>
        <w:t> </w:t>
      </w:r>
      <w:r w:rsidRPr="00C51D72">
        <w:rPr>
          <w:rStyle w:val="whP4pod"/>
          <w:rFonts w:ascii="Times New Roman" w:hAnsi="Times New Roman" w:cs="Times New Roman"/>
          <w:sz w:val="22"/>
          <w:szCs w:val="22"/>
        </w:rPr>
        <w:t>(Mesdames Anne-Françoise HANNON-ZIEGELS, Emeline DELHALLE, Aline DEPAS, Géraldine LEVOISIN, Kimberley GERKENS et Monsieur Olivier ZELEZNIK, Conseillers communaux) ;</w:t>
      </w:r>
      <w:r w:rsidRPr="00C51D72">
        <w:rPr>
          <w:rFonts w:ascii="Times New Roman" w:hAnsi="Times New Roman" w:cs="Times New Roman"/>
          <w:sz w:val="22"/>
          <w:szCs w:val="22"/>
        </w:rPr>
        <w:t> </w:t>
      </w:r>
    </w:p>
    <w:p w14:paraId="71D4D770" w14:textId="2D241591" w:rsidR="0022723E" w:rsidRPr="008515D2" w:rsidRDefault="003C36C7">
      <w:pPr>
        <w:pStyle w:val="whP2pod"/>
        <w:rPr>
          <w:rFonts w:ascii="Times New Roman" w:hAnsi="Times New Roman" w:cs="Times New Roman"/>
          <w:bCs/>
          <w:sz w:val="22"/>
          <w:szCs w:val="22"/>
        </w:rPr>
      </w:pPr>
      <w:r w:rsidRPr="008515D2">
        <w:rPr>
          <w:rStyle w:val="whP3pod"/>
          <w:rFonts w:ascii="Times New Roman" w:hAnsi="Times New Roman" w:cs="Times New Roman"/>
          <w:b w:val="0"/>
          <w:bCs/>
          <w:sz w:val="22"/>
          <w:szCs w:val="22"/>
        </w:rPr>
        <w:t>ARRÊTE</w:t>
      </w:r>
      <w:r w:rsidRPr="008515D2">
        <w:rPr>
          <w:rFonts w:ascii="Times New Roman" w:hAnsi="Times New Roman" w:cs="Times New Roman"/>
          <w:bCs/>
          <w:sz w:val="22"/>
          <w:szCs w:val="22"/>
        </w:rPr>
        <w:t> : </w:t>
      </w:r>
    </w:p>
    <w:p w14:paraId="489D40C9" w14:textId="5C5C1CE6"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1er</w:t>
      </w:r>
      <w:r w:rsidRPr="008515D2">
        <w:rPr>
          <w:rStyle w:val="whP3pod"/>
          <w:rFonts w:ascii="Times New Roman" w:hAnsi="Times New Roman" w:cs="Times New Roman"/>
          <w:b w:val="0"/>
          <w:bCs/>
          <w:sz w:val="22"/>
          <w:szCs w:val="22"/>
        </w:rPr>
        <w:t> :</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Il est établi, pour les exercices</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2026 à 2031 inclus, une redevance communale sur la présence des enfants aux garderies scolaires organisées le matin, le soir et le mercredi après-midi. </w:t>
      </w:r>
    </w:p>
    <w:p w14:paraId="35684C12" w14:textId="54CD951C"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2</w:t>
      </w:r>
      <w:r w:rsidRPr="008515D2">
        <w:rPr>
          <w:rStyle w:val="whP3pod"/>
          <w:rFonts w:ascii="Times New Roman" w:hAnsi="Times New Roman" w:cs="Times New Roman"/>
          <w:b w:val="0"/>
          <w:bCs/>
          <w:sz w:val="22"/>
          <w:szCs w:val="22"/>
        </w:rPr>
        <w:t> :</w:t>
      </w:r>
      <w:r w:rsidRPr="00C51D72">
        <w:rPr>
          <w:rStyle w:val="whP3pod"/>
          <w:rFonts w:ascii="Times New Roman" w:hAnsi="Times New Roman" w:cs="Times New Roman"/>
          <w:sz w:val="22"/>
          <w:szCs w:val="22"/>
        </w:rPr>
        <w:t xml:space="preserve"> </w:t>
      </w:r>
      <w:r w:rsidRPr="00C51D72">
        <w:rPr>
          <w:rFonts w:ascii="Times New Roman" w:hAnsi="Times New Roman" w:cs="Times New Roman"/>
          <w:sz w:val="22"/>
          <w:szCs w:val="22"/>
        </w:rPr>
        <w:t>Du lundi au vendredi matin, une tarification forfaitaire est fixée à 1,50 € pour le premier enfant d’une famille accueilli de 6h50 à 8h15 sur l’implantation de Remicourt et de 7h00 à 8h15 sur l’implantation de Momalle. Un tarif forfaitaire de 1,00 € est appliqué pour les frères et sœurs de la même famille. </w:t>
      </w:r>
    </w:p>
    <w:p w14:paraId="5FBFD779" w14:textId="6DDE2464"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3</w:t>
      </w:r>
      <w:r w:rsidRPr="008515D2">
        <w:rPr>
          <w:rStyle w:val="whP3pod"/>
          <w:rFonts w:ascii="Times New Roman" w:hAnsi="Times New Roman" w:cs="Times New Roman"/>
          <w:b w:val="0"/>
          <w:bCs/>
          <w:sz w:val="22"/>
          <w:szCs w:val="22"/>
        </w:rPr>
        <w:t> :</w:t>
      </w:r>
      <w:r w:rsidRPr="00C51D72">
        <w:rPr>
          <w:rFonts w:ascii="Times New Roman" w:hAnsi="Times New Roman" w:cs="Times New Roman"/>
          <w:sz w:val="22"/>
          <w:szCs w:val="22"/>
        </w:rPr>
        <w:t xml:space="preserve"> Les lundis, mardis, jeudis et vendredi après-midi, une tarification forfaitaire est fixée à 1,50 € pour le premier enfant d’une famille accueilli de 15h45 à 18h00 sur l’implantation de Momalle ou de Remicourt. Un tarif forfaitaire de 1,00 € est appliqué pour les frères et sœurs de la même famille. </w:t>
      </w:r>
    </w:p>
    <w:p w14:paraId="4770DD20" w14:textId="7E270CA1"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4</w:t>
      </w:r>
      <w:r w:rsidRPr="008515D2">
        <w:rPr>
          <w:rStyle w:val="whP3pod"/>
          <w:rFonts w:ascii="Times New Roman" w:hAnsi="Times New Roman" w:cs="Times New Roman"/>
          <w:b w:val="0"/>
          <w:bCs/>
          <w:sz w:val="22"/>
          <w:szCs w:val="22"/>
        </w:rPr>
        <w:t> :</w:t>
      </w:r>
      <w:r w:rsidRPr="00C51D72">
        <w:rPr>
          <w:rFonts w:ascii="Times New Roman" w:hAnsi="Times New Roman" w:cs="Times New Roman"/>
          <w:sz w:val="22"/>
          <w:szCs w:val="22"/>
        </w:rPr>
        <w:t xml:space="preserve"> Le mercredi après-midi, la tarification est fixée à 1,00 € par heure de garderie pour le premier enfant d’une famille accueilli de 13h00 à 18h00 sur l’implantation de Momalle ou de Remicourt. Un tarif de 0,50 € par heure de garderie est appliqué pour les frères et sœurs de la même famille. Toute heure entamée est considérée comme due. </w:t>
      </w:r>
    </w:p>
    <w:p w14:paraId="5D7E54E2" w14:textId="3B1C89E1"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5 :</w:t>
      </w:r>
      <w:r w:rsidRPr="00C51D72">
        <w:rPr>
          <w:rStyle w:val="whP1pod"/>
          <w:rFonts w:ascii="Times New Roman" w:hAnsi="Times New Roman" w:cs="Times New Roman"/>
          <w:sz w:val="22"/>
          <w:szCs w:val="22"/>
        </w:rPr>
        <w:t xml:space="preserve"> </w:t>
      </w:r>
      <w:r w:rsidRPr="00C51D72">
        <w:rPr>
          <w:rFonts w:ascii="Times New Roman" w:hAnsi="Times New Roman" w:cs="Times New Roman"/>
          <w:sz w:val="22"/>
          <w:szCs w:val="22"/>
        </w:rPr>
        <w:t> Lors des journées pédagogiques, les tarifs d’accueil du matin et de l’après-midi sont applicables. Les garderies sont gratuites pendant les périodes considérées comme temps d’école (8h15-15h45). </w:t>
      </w:r>
    </w:p>
    <w:p w14:paraId="446A487F" w14:textId="50E24D49"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6 :</w:t>
      </w:r>
      <w:r w:rsidRPr="00C51D72">
        <w:rPr>
          <w:rStyle w:val="whP1pod"/>
          <w:rFonts w:ascii="Times New Roman" w:hAnsi="Times New Roman" w:cs="Times New Roman"/>
          <w:sz w:val="22"/>
          <w:szCs w:val="22"/>
        </w:rPr>
        <w:t xml:space="preserve"> </w:t>
      </w:r>
      <w:r w:rsidRPr="00C51D72">
        <w:rPr>
          <w:rFonts w:ascii="Times New Roman" w:hAnsi="Times New Roman" w:cs="Times New Roman"/>
          <w:sz w:val="22"/>
          <w:szCs w:val="22"/>
        </w:rPr>
        <w:t> Le relevé des présences est établi par les personnes en charge de la garderie. </w:t>
      </w:r>
    </w:p>
    <w:p w14:paraId="17715160" w14:textId="14BBCD7A"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7</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 Dans le cas où l’enfant ne quitte pas la garderie pour 18h00 au plus tard, une pénalité d’un montant de 25,00€ sera automatiquement appliquée. </w:t>
      </w:r>
    </w:p>
    <w:p w14:paraId="7A315766" w14:textId="03C680A4"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8</w:t>
      </w:r>
      <w:r w:rsidRPr="008515D2">
        <w:rPr>
          <w:rStyle w:val="whP3pod"/>
          <w:rFonts w:ascii="Times New Roman" w:hAnsi="Times New Roman" w:cs="Times New Roman"/>
          <w:b w:val="0"/>
          <w:bCs/>
          <w:sz w:val="22"/>
          <w:szCs w:val="22"/>
        </w:rPr>
        <w:t> :</w:t>
      </w:r>
      <w:r w:rsidRPr="00C51D72">
        <w:rPr>
          <w:rFonts w:ascii="Times New Roman" w:hAnsi="Times New Roman" w:cs="Times New Roman"/>
          <w:sz w:val="22"/>
          <w:szCs w:val="22"/>
        </w:rPr>
        <w:t xml:space="preserve"> La redevance sera acquittée par pré-chargement du compte de l’enfant par l’intermédiaire de l’application extrascolaire mise en place pour la gestion de l’accueil (APSchool). </w:t>
      </w:r>
    </w:p>
    <w:p w14:paraId="6AAAB212" w14:textId="7141B358"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9</w:t>
      </w:r>
      <w:r w:rsidRPr="008515D2">
        <w:rPr>
          <w:rStyle w:val="whP3pod"/>
          <w:rFonts w:ascii="Times New Roman" w:hAnsi="Times New Roman" w:cs="Times New Roman"/>
          <w:b w:val="0"/>
          <w:bCs/>
          <w:sz w:val="22"/>
          <w:szCs w:val="22"/>
        </w:rPr>
        <w:t> :</w:t>
      </w:r>
      <w:r w:rsidRPr="00C51D72">
        <w:rPr>
          <w:rFonts w:ascii="Times New Roman" w:hAnsi="Times New Roman" w:cs="Times New Roman"/>
          <w:sz w:val="22"/>
          <w:szCs w:val="22"/>
        </w:rPr>
        <w:t xml:space="preserve"> La redevance est due solidairement par la ou les personne(s) ayant l’enfant à sa charge. </w:t>
      </w:r>
    </w:p>
    <w:p w14:paraId="317E50AE" w14:textId="77777777"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10</w:t>
      </w:r>
      <w:r w:rsidRPr="008515D2">
        <w:rPr>
          <w:rStyle w:val="whP3pod"/>
          <w:rFonts w:ascii="Times New Roman" w:hAnsi="Times New Roman" w:cs="Times New Roman"/>
          <w:b w:val="0"/>
          <w:bCs/>
          <w:sz w:val="22"/>
          <w:szCs w:val="22"/>
        </w:rPr>
        <w:t> </w:t>
      </w:r>
      <w:r w:rsidRPr="008515D2">
        <w:rPr>
          <w:rFonts w:ascii="Times New Roman" w:hAnsi="Times New Roman" w:cs="Times New Roman"/>
          <w:b/>
          <w:bCs/>
          <w:sz w:val="22"/>
          <w:szCs w:val="22"/>
        </w:rPr>
        <w:t>:</w:t>
      </w:r>
      <w:r w:rsidRPr="00C51D72">
        <w:rPr>
          <w:rFonts w:ascii="Times New Roman" w:hAnsi="Times New Roman" w:cs="Times New Roman"/>
          <w:sz w:val="22"/>
          <w:szCs w:val="22"/>
        </w:rPr>
        <w:t xml:space="preserve"> En cas de défaut de paiement dans le délai requis, un premier rappel gratuit sera envoyé au redevable. Ce rappel sera conforme au titre XIX du CDE relatif aux dettes du consommateur. En cas de non-paiement, dans le délai de 14 jours calendrier, qui prend cours le troisième jour ouvrable qui suit celui où le rappel est envoyé, une clause indemnitaire de 10 euros sera due. Celle-ci couvre tous les coûts du recouvrement amiable de la dette impayée (y compris les éventuels frais de rappel ultérieur au rappel gratuit). En cas de non-paiement à l’issue de la procédure de recouvrement amiable, conformément à l’article L1124-40 du CDLD le débiteur sera mis en demeure de payer </w:t>
      </w:r>
      <w:r w:rsidRPr="00C51D72">
        <w:rPr>
          <w:rFonts w:ascii="Times New Roman" w:hAnsi="Times New Roman" w:cs="Times New Roman"/>
          <w:sz w:val="22"/>
          <w:szCs w:val="22"/>
        </w:rPr>
        <w:lastRenderedPageBreak/>
        <w:t>par courrier recommandé. Les frais administratifs inhérents à cet envoi sont mis à charge du redevable et s’élèveront à 10,00 €.</w:t>
      </w:r>
    </w:p>
    <w:p w14:paraId="09FD0BA9" w14:textId="008A37C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Dans l’hypothèse où une contrainte ne pourrait être délivrée, le redevable fera l’objet d’une citation en justice dans les formes et délais prévus par les dispositions des Code civil et judiciaire. </w:t>
      </w:r>
    </w:p>
    <w:p w14:paraId="7B670567" w14:textId="518A63B2"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11</w:t>
      </w:r>
      <w:r w:rsidRPr="008515D2">
        <w:rPr>
          <w:rStyle w:val="whP3pod"/>
          <w:rFonts w:ascii="Times New Roman" w:hAnsi="Times New Roman" w:cs="Times New Roman"/>
          <w:b w:val="0"/>
          <w:bCs/>
          <w:sz w:val="22"/>
          <w:szCs w:val="22"/>
        </w:rPr>
        <w:t> :</w:t>
      </w:r>
      <w:r w:rsidRPr="00C51D72">
        <w:rPr>
          <w:rFonts w:ascii="Times New Roman" w:hAnsi="Times New Roman" w:cs="Times New Roman"/>
          <w:sz w:val="22"/>
          <w:szCs w:val="22"/>
        </w:rPr>
        <w:t xml:space="preserve"> Le redevable de la présente redevance peut introduire auprès du Collège communal une réclamation faite par écrit, motivée et remise ou présentée par envoi postal dans les quinze jours qui suit la date d’envoi de l’invitation à payer. </w:t>
      </w:r>
    </w:p>
    <w:p w14:paraId="3A4744F7" w14:textId="77777777"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12</w:t>
      </w:r>
      <w:r w:rsidRPr="008515D2">
        <w:rPr>
          <w:rStyle w:val="whP3pod"/>
          <w:rFonts w:ascii="Times New Roman" w:hAnsi="Times New Roman" w:cs="Times New Roman"/>
          <w:b w:val="0"/>
          <w:bCs/>
          <w:sz w:val="22"/>
          <w:szCs w:val="22"/>
        </w:rPr>
        <w:t> :</w:t>
      </w:r>
      <w:r w:rsidRPr="00C51D72">
        <w:rPr>
          <w:rFonts w:ascii="Times New Roman" w:hAnsi="Times New Roman" w:cs="Times New Roman"/>
          <w:sz w:val="22"/>
          <w:szCs w:val="22"/>
        </w:rPr>
        <w:t xml:space="preserve"> Traitement des données et Règlement Général de Protection des Données (RGPD) :</w:t>
      </w:r>
    </w:p>
    <w:p w14:paraId="00138A3F" w14:textId="65E7A66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Responsable de traitement : La Commune de Remicourt</w:t>
      </w:r>
      <w:r w:rsidR="008515D2">
        <w:rPr>
          <w:rFonts w:ascii="Times New Roman" w:hAnsi="Times New Roman" w:cs="Times New Roman"/>
          <w:sz w:val="22"/>
          <w:szCs w:val="22"/>
        </w:rPr>
        <w:t xml:space="preserve"> </w:t>
      </w:r>
      <w:r w:rsidRPr="00C51D72">
        <w:rPr>
          <w:rFonts w:ascii="Times New Roman" w:hAnsi="Times New Roman" w:cs="Times New Roman"/>
          <w:sz w:val="22"/>
          <w:szCs w:val="22"/>
        </w:rPr>
        <w:t>;- Finalité du traitement des données : Pour l’établissement et recouvrement de la redevance sur les garderies scolaires ;</w:t>
      </w:r>
    </w:p>
    <w:p w14:paraId="08AB4C5C"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Catégories de données : Les données d’identification de la personne responsable ainsi que les noms des enfants concernés ;</w:t>
      </w:r>
    </w:p>
    <w:p w14:paraId="2E9D251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Durée de conservation : La Commune de Remicourt s’engage à conserver les données pour un délai de 10 ans et à les supprimer par la suite ou à les transférer aux archives de l’Etat ;</w:t>
      </w:r>
    </w:p>
    <w:p w14:paraId="5DA599CD" w14:textId="7777777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Méthode de collecte : par le biais d’une prise de présence les jours de garderies ;</w:t>
      </w:r>
    </w:p>
    <w:p w14:paraId="637BA3BF" w14:textId="02E8E4F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Communications des données : Les données ne seront communiquées qu’à des tiers autorisés par ou en vertu de la loi, notamment en application de l’article 327 du code des impôts sur les revenus, ou à des sous-traitants du responsable de traitement. </w:t>
      </w:r>
    </w:p>
    <w:p w14:paraId="25B3C2A3" w14:textId="3BA590A2"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Article 13</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 La présente délibération est transmise au Gouvernement wallon conformément aux articles L3131-1 et suivants du Code de la Démocratie Locale et de la Décentralisation pour exercice de la tutelle spéciale d’approbation ainsi qu’au Directeur Financier. </w:t>
      </w:r>
    </w:p>
    <w:p w14:paraId="02197952" w14:textId="78003E03" w:rsidR="0022723E" w:rsidRPr="00C51D72" w:rsidRDefault="003C36C7" w:rsidP="008515D2">
      <w:pPr>
        <w:pStyle w:val="whP2pod"/>
        <w:rPr>
          <w:rFonts w:ascii="Times New Roman" w:hAnsi="Times New Roman" w:cs="Times New Roman"/>
          <w:color w:val="000000"/>
          <w:sz w:val="22"/>
          <w:szCs w:val="22"/>
        </w:rPr>
      </w:pPr>
      <w:r w:rsidRPr="008515D2">
        <w:rPr>
          <w:rStyle w:val="whP1pod"/>
          <w:rFonts w:ascii="Times New Roman" w:hAnsi="Times New Roman" w:cs="Times New Roman"/>
          <w:b w:val="0"/>
          <w:bCs/>
          <w:sz w:val="22"/>
          <w:szCs w:val="22"/>
        </w:rPr>
        <w:t>Article 14</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 Le présent règlement entre en vigueur après accomplissement des formalités légales de publication prévues aux articles L1133-1 et L1133-2 du code de la démocratie locale et de la décentralisation.</w:t>
      </w:r>
    </w:p>
    <w:p w14:paraId="264FEBE6"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6319975E" w14:textId="77777777" w:rsidR="0022723E" w:rsidRPr="00C51D72" w:rsidRDefault="003C36C7">
      <w:pPr>
        <w:pStyle w:val="Titre2"/>
        <w:tabs>
          <w:tab w:val="left" w:pos="1020"/>
        </w:tabs>
        <w:spacing w:before="0" w:after="113"/>
        <w:ind w:left="510" w:hanging="510"/>
        <w:jc w:val="both"/>
        <w:rPr>
          <w:rFonts w:cs="Times New Roman"/>
          <w:szCs w:val="22"/>
        </w:rPr>
      </w:pPr>
      <w:bookmarkStart w:id="28" w:name="__RefHeading___Toc1768_349934923628"/>
      <w:bookmarkEnd w:id="28"/>
      <w:r w:rsidRPr="00C51D72">
        <w:rPr>
          <w:rFonts w:cs="Times New Roman"/>
          <w:color w:val="000000"/>
          <w:szCs w:val="22"/>
          <w:u w:val="none"/>
        </w:rPr>
        <w:t>29.</w:t>
      </w:r>
      <w:r w:rsidRPr="00C51D72">
        <w:rPr>
          <w:rFonts w:cs="Times New Roman"/>
          <w:color w:val="000000"/>
          <w:szCs w:val="22"/>
          <w:u w:val="none"/>
        </w:rPr>
        <w:tab/>
      </w:r>
      <w:r w:rsidRPr="00C51D72">
        <w:rPr>
          <w:rFonts w:cs="Times New Roman"/>
          <w:caps/>
          <w:color w:val="000000"/>
          <w:szCs w:val="22"/>
        </w:rPr>
        <w:t>INTERCOMMUNALE IMIO - ASSEMBLÉE GÉNÉRALE ORDINAIRE DU 1er DÉCEMBRE 2025 - ORDRE DU JOUR.</w:t>
      </w:r>
    </w:p>
    <w:p w14:paraId="67D0E68F"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79BEE48" w14:textId="3C57E76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et ses articles relatifs aux intercommunales, notamment l’article 1523-12 §1ER ; </w:t>
      </w:r>
    </w:p>
    <w:p w14:paraId="00CB6A0B" w14:textId="135482D4" w:rsidR="0022723E" w:rsidRPr="008515D2" w:rsidRDefault="003C36C7">
      <w:pPr>
        <w:pStyle w:val="whP2pod"/>
        <w:rPr>
          <w:rFonts w:ascii="Times New Roman" w:hAnsi="Times New Roman" w:cs="Times New Roman"/>
          <w:b/>
          <w:bCs/>
          <w:sz w:val="22"/>
          <w:szCs w:val="22"/>
        </w:rPr>
      </w:pPr>
      <w:r w:rsidRPr="00C51D72">
        <w:rPr>
          <w:rFonts w:ascii="Times New Roman" w:hAnsi="Times New Roman" w:cs="Times New Roman"/>
          <w:sz w:val="22"/>
          <w:szCs w:val="22"/>
        </w:rPr>
        <w:t xml:space="preserve">Vu l’ordre du jour de l’Assemblée générale ordinaire de l’intercommunale IMIO devant se tenir </w:t>
      </w:r>
      <w:r w:rsidRPr="008515D2">
        <w:rPr>
          <w:rStyle w:val="whP3pod"/>
          <w:rFonts w:ascii="Times New Roman" w:hAnsi="Times New Roman" w:cs="Times New Roman"/>
          <w:b w:val="0"/>
          <w:bCs/>
          <w:sz w:val="22"/>
          <w:szCs w:val="22"/>
        </w:rPr>
        <w:t>le lundi 1er décembre 2025 à 18h00 ;</w:t>
      </w:r>
      <w:r w:rsidRPr="008515D2">
        <w:rPr>
          <w:rFonts w:ascii="Times New Roman" w:hAnsi="Times New Roman" w:cs="Times New Roman"/>
          <w:b/>
          <w:bCs/>
          <w:sz w:val="22"/>
          <w:szCs w:val="22"/>
        </w:rPr>
        <w:t> </w:t>
      </w:r>
    </w:p>
    <w:p w14:paraId="7369A3CB" w14:textId="2C2BCBE5"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législation régissant les intercommunales et leur mode de fonctionnement ; </w:t>
      </w:r>
    </w:p>
    <w:p w14:paraId="1FD87754" w14:textId="2739D19B" w:rsidR="0022723E" w:rsidRPr="008515D2" w:rsidRDefault="003C36C7">
      <w:pPr>
        <w:pStyle w:val="whP2pod"/>
        <w:rPr>
          <w:rFonts w:ascii="Times New Roman" w:hAnsi="Times New Roman" w:cs="Times New Roman"/>
          <w:b/>
          <w:bCs/>
          <w:sz w:val="22"/>
          <w:szCs w:val="22"/>
        </w:rPr>
      </w:pPr>
      <w:r w:rsidRPr="00C51D72">
        <w:rPr>
          <w:rFonts w:ascii="Times New Roman" w:hAnsi="Times New Roman" w:cs="Times New Roman"/>
          <w:sz w:val="22"/>
          <w:szCs w:val="22"/>
        </w:rPr>
        <w:t>L'Assemblée générale ordinaire de l’intercommunale IMIO </w:t>
      </w:r>
      <w:r w:rsidRPr="00C51D72">
        <w:rPr>
          <w:rStyle w:val="whP3pod"/>
          <w:rFonts w:ascii="Times New Roman" w:hAnsi="Times New Roman" w:cs="Times New Roman"/>
          <w:sz w:val="22"/>
          <w:szCs w:val="22"/>
        </w:rPr>
        <w:t xml:space="preserve">se </w:t>
      </w:r>
      <w:r w:rsidRPr="008515D2">
        <w:rPr>
          <w:rStyle w:val="whP3pod"/>
          <w:rFonts w:ascii="Times New Roman" w:hAnsi="Times New Roman" w:cs="Times New Roman"/>
          <w:b w:val="0"/>
          <w:bCs/>
          <w:sz w:val="22"/>
          <w:szCs w:val="22"/>
        </w:rPr>
        <w:t>déroulera dans les locaux du Business Village Ecolys by Actibel - Avenue d'Ecolys, 2 à 5020 Suarleie (Namur), le lundi 1er décembre 2025 à 18h00 ;</w:t>
      </w:r>
      <w:r w:rsidRPr="008515D2">
        <w:rPr>
          <w:rFonts w:ascii="Times New Roman" w:hAnsi="Times New Roman" w:cs="Times New Roman"/>
          <w:b/>
          <w:bCs/>
          <w:sz w:val="22"/>
          <w:szCs w:val="22"/>
        </w:rPr>
        <w:t> </w:t>
      </w:r>
    </w:p>
    <w:p w14:paraId="4E61F1F0" w14:textId="702AF0BC"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61ABFAD8" w14:textId="3A625CCD" w:rsidR="0022723E" w:rsidRPr="00C51D72" w:rsidRDefault="003C36C7" w:rsidP="008515D2">
      <w:pPr>
        <w:pStyle w:val="whP2pod"/>
        <w:rPr>
          <w:rFonts w:ascii="Times New Roman" w:hAnsi="Times New Roman" w:cs="Times New Roman"/>
          <w:sz w:val="22"/>
          <w:szCs w:val="22"/>
        </w:rPr>
      </w:pPr>
      <w:r w:rsidRPr="00C51D72">
        <w:rPr>
          <w:rFonts w:ascii="Times New Roman" w:hAnsi="Times New Roman" w:cs="Times New Roman"/>
          <w:sz w:val="22"/>
          <w:szCs w:val="22"/>
        </w:rPr>
        <w:t>Par ces motifs ; </w:t>
      </w:r>
    </w:p>
    <w:p w14:paraId="62F5B640" w14:textId="6A8EEBBA" w:rsidR="0022723E" w:rsidRPr="008515D2" w:rsidRDefault="003C36C7">
      <w:pPr>
        <w:pStyle w:val="whP2pod"/>
        <w:rPr>
          <w:rFonts w:ascii="Times New Roman" w:hAnsi="Times New Roman" w:cs="Times New Roman"/>
          <w:b/>
          <w:bCs/>
          <w:sz w:val="22"/>
          <w:szCs w:val="22"/>
        </w:rPr>
      </w:pPr>
      <w:r w:rsidRPr="008515D2">
        <w:rPr>
          <w:rStyle w:val="whP3pod"/>
          <w:rFonts w:ascii="Times New Roman" w:hAnsi="Times New Roman" w:cs="Times New Roman"/>
          <w:b w:val="0"/>
          <w:bCs/>
          <w:sz w:val="22"/>
          <w:szCs w:val="22"/>
        </w:rPr>
        <w:t>À l'unanimité,</w:t>
      </w:r>
      <w:r w:rsidRPr="008515D2">
        <w:rPr>
          <w:rFonts w:ascii="Times New Roman" w:hAnsi="Times New Roman" w:cs="Times New Roman"/>
          <w:b/>
          <w:bCs/>
          <w:sz w:val="22"/>
          <w:szCs w:val="22"/>
        </w:rPr>
        <w:t> </w:t>
      </w:r>
    </w:p>
    <w:p w14:paraId="2F4968DC" w14:textId="07F634D0" w:rsidR="0022723E" w:rsidRPr="00C51D72"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t>1. MARQUE</w:t>
      </w:r>
      <w:r w:rsidRPr="00C51D72">
        <w:rPr>
          <w:rFonts w:ascii="Times New Roman" w:hAnsi="Times New Roman" w:cs="Times New Roman"/>
          <w:sz w:val="22"/>
          <w:szCs w:val="22"/>
        </w:rPr>
        <w:t> son accord, sur base des documents joints, sur l’ordre du jour de l’assemblée ordinaire. </w:t>
      </w:r>
    </w:p>
    <w:p w14:paraId="302BD770" w14:textId="0B54B4CE" w:rsidR="0022723E" w:rsidRPr="00C51D72"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t>2. APPROUVE</w:t>
      </w:r>
      <w:r w:rsidRPr="00C51D72">
        <w:rPr>
          <w:rFonts w:ascii="Times New Roman" w:hAnsi="Times New Roman" w:cs="Times New Roman"/>
          <w:sz w:val="22"/>
          <w:szCs w:val="22"/>
        </w:rPr>
        <w:t> les points de l’Assemblée générale ordinaire : </w:t>
      </w:r>
    </w:p>
    <w:p w14:paraId="1CF4B836" w14:textId="77777777" w:rsidR="0022723E" w:rsidRPr="00C51D72" w:rsidRDefault="003C36C7">
      <w:pPr>
        <w:pStyle w:val="whP2pod"/>
        <w:rPr>
          <w:rFonts w:ascii="Times New Roman" w:hAnsi="Times New Roman" w:cs="Times New Roman"/>
          <w:sz w:val="22"/>
          <w:szCs w:val="22"/>
        </w:rPr>
      </w:pPr>
      <w:r w:rsidRPr="008515D2">
        <w:rPr>
          <w:rStyle w:val="whP1pod"/>
          <w:rFonts w:ascii="Times New Roman" w:hAnsi="Times New Roman" w:cs="Times New Roman"/>
          <w:b w:val="0"/>
          <w:bCs/>
          <w:sz w:val="22"/>
          <w:szCs w:val="22"/>
        </w:rPr>
        <w:t>Point 1</w:t>
      </w:r>
      <w:r w:rsidRPr="008515D2">
        <w:rPr>
          <w:rFonts w:ascii="Times New Roman" w:hAnsi="Times New Roman" w:cs="Times New Roman"/>
          <w:b/>
          <w:bCs/>
          <w:sz w:val="22"/>
          <w:szCs w:val="22"/>
        </w:rPr>
        <w:t>.-</w:t>
      </w:r>
      <w:r w:rsidRPr="00C51D72">
        <w:rPr>
          <w:rFonts w:ascii="Times New Roman" w:hAnsi="Times New Roman" w:cs="Times New Roman"/>
          <w:sz w:val="22"/>
          <w:szCs w:val="22"/>
        </w:rPr>
        <w:t>  Présentation du plan stratégique 2024-2026 ;</w:t>
      </w:r>
    </w:p>
    <w:p w14:paraId="371BA8A2" w14:textId="4BA900E0" w:rsidR="0022723E" w:rsidRPr="00C51D72" w:rsidRDefault="003C36C7">
      <w:pPr>
        <w:pStyle w:val="whP2pod"/>
        <w:rPr>
          <w:rFonts w:ascii="Times New Roman" w:hAnsi="Times New Roman" w:cs="Times New Roman"/>
          <w:sz w:val="22"/>
          <w:szCs w:val="22"/>
        </w:rPr>
      </w:pPr>
      <w:r w:rsidRPr="008515D2">
        <w:rPr>
          <w:rStyle w:val="whP5pod"/>
          <w:rFonts w:ascii="Times New Roman" w:hAnsi="Times New Roman" w:cs="Times New Roman"/>
          <w:b w:val="0"/>
          <w:bCs/>
          <w:sz w:val="22"/>
          <w:szCs w:val="22"/>
        </w:rPr>
        <w:t>Point 2.</w:t>
      </w:r>
      <w:r w:rsidRPr="008515D2">
        <w:rPr>
          <w:rFonts w:ascii="Times New Roman" w:hAnsi="Times New Roman" w:cs="Times New Roman"/>
          <w:b/>
          <w:bCs/>
          <w:sz w:val="22"/>
          <w:szCs w:val="22"/>
        </w:rPr>
        <w:t>-</w:t>
      </w:r>
      <w:r w:rsidRPr="00C51D72">
        <w:rPr>
          <w:rFonts w:ascii="Times New Roman" w:hAnsi="Times New Roman" w:cs="Times New Roman"/>
          <w:sz w:val="22"/>
          <w:szCs w:val="22"/>
        </w:rPr>
        <w:t>  Présentation et approbation du budget et de la grille tarifaire 2026. </w:t>
      </w:r>
    </w:p>
    <w:p w14:paraId="022E5F76" w14:textId="2D937A80" w:rsidR="0022723E" w:rsidRPr="00C51D72" w:rsidRDefault="003C36C7">
      <w:pPr>
        <w:rPr>
          <w:rFonts w:ascii="Times New Roman" w:hAnsi="Times New Roman" w:cs="Times New Roman"/>
          <w:sz w:val="22"/>
          <w:szCs w:val="22"/>
        </w:rPr>
      </w:pPr>
      <w:r w:rsidRPr="008515D2">
        <w:rPr>
          <w:rStyle w:val="whP3pod"/>
          <w:rFonts w:ascii="Times New Roman" w:hAnsi="Times New Roman" w:cs="Times New Roman"/>
          <w:b w:val="0"/>
          <w:bCs/>
          <w:sz w:val="22"/>
          <w:szCs w:val="22"/>
        </w:rPr>
        <w:t>3. CHARGE</w:t>
      </w:r>
      <w:r w:rsidRPr="00C51D72">
        <w:rPr>
          <w:rFonts w:ascii="Times New Roman" w:hAnsi="Times New Roman" w:cs="Times New Roman"/>
          <w:sz w:val="22"/>
          <w:szCs w:val="22"/>
        </w:rPr>
        <w:t> le Collège communal de veiller à l'exécution de la présente décision. </w:t>
      </w:r>
    </w:p>
    <w:p w14:paraId="5EE932AE" w14:textId="65E0B7C0" w:rsidR="0022723E" w:rsidRPr="00C51D72" w:rsidRDefault="003C36C7" w:rsidP="008515D2">
      <w:pPr>
        <w:rPr>
          <w:rFonts w:ascii="Times New Roman" w:hAnsi="Times New Roman" w:cs="Times New Roman"/>
          <w:color w:val="000000"/>
          <w:sz w:val="22"/>
          <w:szCs w:val="22"/>
        </w:rPr>
      </w:pPr>
      <w:r w:rsidRPr="008515D2">
        <w:rPr>
          <w:rStyle w:val="whP3pod"/>
          <w:rFonts w:ascii="Times New Roman" w:hAnsi="Times New Roman" w:cs="Times New Roman"/>
          <w:b w:val="0"/>
          <w:bCs/>
          <w:sz w:val="22"/>
          <w:szCs w:val="22"/>
        </w:rPr>
        <w:t>4. TRANSMET</w:t>
      </w:r>
      <w:r w:rsidRPr="00C51D72">
        <w:rPr>
          <w:rFonts w:ascii="Times New Roman" w:hAnsi="Times New Roman" w:cs="Times New Roman"/>
          <w:sz w:val="22"/>
          <w:szCs w:val="22"/>
        </w:rPr>
        <w:t> la présente délibération à l'intercommunale IMIO.</w:t>
      </w:r>
    </w:p>
    <w:p w14:paraId="334A20CB"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DD8CE95" w14:textId="77777777" w:rsidR="0022723E" w:rsidRPr="00C51D72" w:rsidRDefault="003C36C7">
      <w:pPr>
        <w:pStyle w:val="Titre2"/>
        <w:tabs>
          <w:tab w:val="left" w:pos="1020"/>
        </w:tabs>
        <w:spacing w:before="0" w:after="113"/>
        <w:ind w:left="510" w:hanging="510"/>
        <w:jc w:val="both"/>
        <w:rPr>
          <w:rFonts w:cs="Times New Roman"/>
          <w:szCs w:val="22"/>
        </w:rPr>
      </w:pPr>
      <w:bookmarkStart w:id="29" w:name="__RefHeading___Toc1768_349934923629"/>
      <w:bookmarkEnd w:id="29"/>
      <w:r w:rsidRPr="00C51D72">
        <w:rPr>
          <w:rFonts w:cs="Times New Roman"/>
          <w:color w:val="000000"/>
          <w:szCs w:val="22"/>
          <w:u w:val="none"/>
        </w:rPr>
        <w:t>30.</w:t>
      </w:r>
      <w:r w:rsidRPr="00C51D72">
        <w:rPr>
          <w:rFonts w:cs="Times New Roman"/>
          <w:color w:val="000000"/>
          <w:szCs w:val="22"/>
          <w:u w:val="none"/>
        </w:rPr>
        <w:tab/>
      </w:r>
      <w:r w:rsidRPr="00C51D72">
        <w:rPr>
          <w:rFonts w:cs="Times New Roman"/>
          <w:caps/>
          <w:color w:val="000000"/>
          <w:szCs w:val="22"/>
        </w:rPr>
        <w:t>INTERCOMMUNALE AIDE SCRL - ASSEMBLÉE GÉNÉRALE DU 16 DÉCEMBRE 2025 - ORDRE DU JOUR.</w:t>
      </w:r>
    </w:p>
    <w:p w14:paraId="417A04DE"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4CE4B948" w14:textId="78F6350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et ses articles relatifs aux intercommunales, notamment l’article 1523-12 §1er ; </w:t>
      </w:r>
    </w:p>
    <w:p w14:paraId="3714780F" w14:textId="185D96E1" w:rsidR="0022723E" w:rsidRPr="008515D2" w:rsidRDefault="003C36C7">
      <w:pPr>
        <w:pStyle w:val="whP2pod"/>
        <w:rPr>
          <w:rFonts w:ascii="Times New Roman" w:hAnsi="Times New Roman" w:cs="Times New Roman"/>
          <w:b/>
          <w:bCs/>
          <w:sz w:val="22"/>
          <w:szCs w:val="22"/>
        </w:rPr>
      </w:pPr>
      <w:r w:rsidRPr="00C51D72">
        <w:rPr>
          <w:rFonts w:ascii="Times New Roman" w:hAnsi="Times New Roman" w:cs="Times New Roman"/>
          <w:sz w:val="22"/>
          <w:szCs w:val="22"/>
        </w:rPr>
        <w:t>Vu l’ordre du jour de</w:t>
      </w:r>
      <w:r w:rsidRPr="00C51D72">
        <w:rPr>
          <w:rStyle w:val="whP3pod"/>
          <w:rFonts w:ascii="Times New Roman" w:hAnsi="Times New Roman" w:cs="Times New Roman"/>
          <w:sz w:val="22"/>
          <w:szCs w:val="22"/>
        </w:rPr>
        <w:t xml:space="preserve"> </w:t>
      </w:r>
      <w:r w:rsidRPr="008515D2">
        <w:rPr>
          <w:rStyle w:val="whP3pod"/>
          <w:rFonts w:ascii="Times New Roman" w:hAnsi="Times New Roman" w:cs="Times New Roman"/>
          <w:b w:val="0"/>
          <w:bCs/>
          <w:sz w:val="22"/>
          <w:szCs w:val="22"/>
        </w:rPr>
        <w:t>l’Assemblée générale de l'Association Intercommunale pour le Démergement et l'Epuration (AIDE SCRL) devant se tenir le mardi 16 décembre 2025 à 19h ;</w:t>
      </w:r>
      <w:r w:rsidRPr="008515D2">
        <w:rPr>
          <w:rFonts w:ascii="Times New Roman" w:hAnsi="Times New Roman" w:cs="Times New Roman"/>
          <w:b/>
          <w:bCs/>
          <w:sz w:val="22"/>
          <w:szCs w:val="22"/>
        </w:rPr>
        <w:t> </w:t>
      </w:r>
    </w:p>
    <w:p w14:paraId="10DD3698" w14:textId="5971EBE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Considérant la législation régissant les intercommunales et leur mode de fonctionnement ; </w:t>
      </w:r>
    </w:p>
    <w:p w14:paraId="12D4006D" w14:textId="0274300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 xml:space="preserve">L’Assemblée Générale de l'Association Intercommunale pour le Démergement et l'Epuration (AIDE SCRL) </w:t>
      </w:r>
      <w:r w:rsidRPr="008515D2">
        <w:rPr>
          <w:rStyle w:val="whP3pod"/>
          <w:rFonts w:ascii="Times New Roman" w:hAnsi="Times New Roman" w:cs="Times New Roman"/>
          <w:b w:val="0"/>
          <w:bCs/>
          <w:sz w:val="22"/>
          <w:szCs w:val="22"/>
        </w:rPr>
        <w:t>se déroulera à la station d'épuration de Liège-Oupeye sise rue Voie de Liège, 40 à 4681 Hermalle-sous-Argenteau, le mardi 16 décembre 2025 à 19h ;</w:t>
      </w:r>
      <w:r w:rsidRPr="00C51D72">
        <w:rPr>
          <w:rFonts w:ascii="Times New Roman" w:hAnsi="Times New Roman" w:cs="Times New Roman"/>
          <w:sz w:val="22"/>
          <w:szCs w:val="22"/>
        </w:rPr>
        <w:t> </w:t>
      </w:r>
    </w:p>
    <w:p w14:paraId="12825744" w14:textId="3E62281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Sur proposition du Collège communal ; </w:t>
      </w:r>
    </w:p>
    <w:p w14:paraId="029D2718" w14:textId="56AA08FA" w:rsidR="0022723E" w:rsidRPr="00C51D72" w:rsidRDefault="003C36C7" w:rsidP="008515D2">
      <w:pPr>
        <w:pStyle w:val="whP2pod"/>
        <w:rPr>
          <w:rFonts w:ascii="Times New Roman" w:hAnsi="Times New Roman" w:cs="Times New Roman"/>
          <w:sz w:val="22"/>
          <w:szCs w:val="22"/>
        </w:rPr>
      </w:pPr>
      <w:r w:rsidRPr="00C51D72">
        <w:rPr>
          <w:rFonts w:ascii="Times New Roman" w:hAnsi="Times New Roman" w:cs="Times New Roman"/>
          <w:sz w:val="22"/>
          <w:szCs w:val="22"/>
        </w:rPr>
        <w:t>Par ces motifs ; </w:t>
      </w:r>
    </w:p>
    <w:p w14:paraId="099E7203" w14:textId="542735E3" w:rsidR="0022723E" w:rsidRPr="008515D2" w:rsidRDefault="003C36C7">
      <w:pPr>
        <w:pStyle w:val="whP2pod"/>
        <w:rPr>
          <w:rFonts w:ascii="Times New Roman" w:hAnsi="Times New Roman" w:cs="Times New Roman"/>
          <w:b/>
          <w:bCs/>
          <w:sz w:val="22"/>
          <w:szCs w:val="22"/>
        </w:rPr>
      </w:pPr>
      <w:r w:rsidRPr="008515D2">
        <w:rPr>
          <w:rStyle w:val="whP3pod"/>
          <w:rFonts w:ascii="Times New Roman" w:hAnsi="Times New Roman" w:cs="Times New Roman"/>
          <w:b w:val="0"/>
          <w:bCs/>
          <w:sz w:val="22"/>
          <w:szCs w:val="22"/>
        </w:rPr>
        <w:t>À l'unanimité,</w:t>
      </w:r>
      <w:r w:rsidRPr="008515D2">
        <w:rPr>
          <w:rFonts w:ascii="Times New Roman" w:hAnsi="Times New Roman" w:cs="Times New Roman"/>
          <w:b/>
          <w:bCs/>
          <w:sz w:val="22"/>
          <w:szCs w:val="22"/>
        </w:rPr>
        <w:t> </w:t>
      </w:r>
    </w:p>
    <w:p w14:paraId="77E83ECD" w14:textId="7F4B21D9" w:rsidR="0022723E" w:rsidRPr="00C51D72"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lastRenderedPageBreak/>
        <w:t>1. MARQUE</w:t>
      </w:r>
      <w:r w:rsidRPr="00C51D72">
        <w:rPr>
          <w:rFonts w:ascii="Times New Roman" w:hAnsi="Times New Roman" w:cs="Times New Roman"/>
          <w:sz w:val="22"/>
          <w:szCs w:val="22"/>
        </w:rPr>
        <w:t> son accord, sur base des documents joints, sur l’ordre du jour de l’Assemblée générale. </w:t>
      </w:r>
    </w:p>
    <w:p w14:paraId="23BE3FCD" w14:textId="77777777" w:rsidR="0022723E" w:rsidRPr="00C51D72" w:rsidRDefault="003C36C7">
      <w:pPr>
        <w:rPr>
          <w:rFonts w:ascii="Times New Roman" w:hAnsi="Times New Roman" w:cs="Times New Roman"/>
          <w:sz w:val="22"/>
          <w:szCs w:val="22"/>
        </w:rPr>
      </w:pPr>
      <w:r w:rsidRPr="008515D2">
        <w:rPr>
          <w:rStyle w:val="whP3pod"/>
          <w:rFonts w:ascii="Times New Roman" w:hAnsi="Times New Roman" w:cs="Times New Roman"/>
          <w:b w:val="0"/>
          <w:bCs/>
          <w:sz w:val="22"/>
          <w:szCs w:val="22"/>
        </w:rPr>
        <w:t>2. APPROUVE</w:t>
      </w:r>
      <w:r w:rsidRPr="008515D2">
        <w:rPr>
          <w:rFonts w:ascii="Times New Roman" w:hAnsi="Times New Roman" w:cs="Times New Roman"/>
          <w:b/>
          <w:bCs/>
          <w:sz w:val="22"/>
          <w:szCs w:val="22"/>
        </w:rPr>
        <w:t> </w:t>
      </w:r>
      <w:r w:rsidRPr="008515D2">
        <w:rPr>
          <w:rStyle w:val="whP3pod"/>
          <w:rFonts w:ascii="Times New Roman" w:hAnsi="Times New Roman" w:cs="Times New Roman"/>
          <w:b w:val="0"/>
          <w:bCs/>
          <w:sz w:val="22"/>
          <w:szCs w:val="22"/>
        </w:rPr>
        <w:t>à l'unanimité</w:t>
      </w:r>
      <w:r w:rsidRPr="00C51D72">
        <w:rPr>
          <w:rFonts w:ascii="Times New Roman" w:hAnsi="Times New Roman" w:cs="Times New Roman"/>
          <w:sz w:val="22"/>
          <w:szCs w:val="22"/>
        </w:rPr>
        <w:t>, les points 1, 2 et 3 de l'ordre du jour de l'Assemblée générale.</w:t>
      </w:r>
    </w:p>
    <w:p w14:paraId="74B26FCE" w14:textId="005E809D" w:rsidR="0022723E" w:rsidRPr="00C51D72" w:rsidRDefault="003C36C7" w:rsidP="008515D2">
      <w:pPr>
        <w:rPr>
          <w:rFonts w:ascii="Times New Roman" w:hAnsi="Times New Roman" w:cs="Times New Roman"/>
          <w:sz w:val="22"/>
          <w:szCs w:val="22"/>
        </w:rPr>
      </w:pPr>
      <w:r w:rsidRPr="008515D2">
        <w:rPr>
          <w:rStyle w:val="whP3pod"/>
          <w:rFonts w:ascii="Times New Roman" w:hAnsi="Times New Roman" w:cs="Times New Roman"/>
          <w:b w:val="0"/>
          <w:bCs/>
          <w:sz w:val="22"/>
          <w:szCs w:val="22"/>
        </w:rPr>
        <w:t>APPROUVE</w:t>
      </w:r>
      <w:r w:rsidRPr="008515D2">
        <w:rPr>
          <w:rFonts w:ascii="Times New Roman" w:hAnsi="Times New Roman" w:cs="Times New Roman"/>
          <w:b/>
          <w:bCs/>
          <w:sz w:val="22"/>
          <w:szCs w:val="22"/>
        </w:rPr>
        <w:t> </w:t>
      </w:r>
      <w:r w:rsidRPr="008515D2">
        <w:rPr>
          <w:rStyle w:val="whP3pod"/>
          <w:rFonts w:ascii="Times New Roman" w:hAnsi="Times New Roman" w:cs="Times New Roman"/>
          <w:b w:val="0"/>
          <w:bCs/>
          <w:sz w:val="22"/>
          <w:szCs w:val="22"/>
        </w:rPr>
        <w:t>par 10 voix Pour et 5 voix Contre</w:t>
      </w:r>
      <w:r w:rsidRPr="00C51D72">
        <w:rPr>
          <w:rFonts w:ascii="Times New Roman" w:hAnsi="Times New Roman" w:cs="Times New Roman"/>
          <w:sz w:val="22"/>
          <w:szCs w:val="22"/>
        </w:rPr>
        <w:t> (Monsieur Luc LHOEST, Bourgmestre - Président, Monsieur Nicolas ANDRIES, 1er Échevin, Madame Isabelle COHEUR, Échevine, Madame Véronique de MARNEFFE et Monsieur Laurent MAQUOI, Conseillers communaux)</w:t>
      </w:r>
      <w:r w:rsidRPr="00C51D72">
        <w:rPr>
          <w:rStyle w:val="whP4pod"/>
          <w:rFonts w:ascii="Times New Roman" w:hAnsi="Times New Roman" w:cs="Times New Roman"/>
          <w:sz w:val="22"/>
          <w:szCs w:val="22"/>
        </w:rPr>
        <w:t>,</w:t>
      </w:r>
      <w:r w:rsidRPr="00C51D72">
        <w:rPr>
          <w:rFonts w:ascii="Times New Roman" w:hAnsi="Times New Roman" w:cs="Times New Roman"/>
          <w:sz w:val="22"/>
          <w:szCs w:val="22"/>
        </w:rPr>
        <w:t> </w:t>
      </w:r>
      <w:r w:rsidRPr="008515D2">
        <w:rPr>
          <w:rStyle w:val="whP3pod"/>
          <w:rFonts w:ascii="Times New Roman" w:hAnsi="Times New Roman" w:cs="Times New Roman"/>
          <w:b w:val="0"/>
          <w:bCs/>
          <w:sz w:val="22"/>
          <w:szCs w:val="22"/>
        </w:rPr>
        <w:t>le point 4</w:t>
      </w:r>
      <w:r w:rsidRPr="00C51D72">
        <w:rPr>
          <w:rStyle w:val="whP3pod"/>
          <w:rFonts w:ascii="Times New Roman" w:hAnsi="Times New Roman" w:cs="Times New Roman"/>
          <w:sz w:val="22"/>
          <w:szCs w:val="22"/>
        </w:rPr>
        <w:t> </w:t>
      </w:r>
      <w:r w:rsidRPr="00C51D72">
        <w:rPr>
          <w:rFonts w:ascii="Times New Roman" w:hAnsi="Times New Roman" w:cs="Times New Roman"/>
          <w:sz w:val="22"/>
          <w:szCs w:val="22"/>
        </w:rPr>
        <w:t>"Approbation des rémunérations des organes de gestion sur base des recommandations du Comité de rémunération du 6 octobre 2025 et du Conseil d'administration du 13 octobre 2025", de l'ordre du jour de l’Assemblée générale : </w:t>
      </w:r>
    </w:p>
    <w:p w14:paraId="7C7823CC" w14:textId="77777777" w:rsidR="0022723E" w:rsidRPr="00C51D72"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t>2. APPROUVE</w:t>
      </w:r>
      <w:r w:rsidRPr="00C51D72">
        <w:rPr>
          <w:rFonts w:ascii="Times New Roman" w:hAnsi="Times New Roman" w:cs="Times New Roman"/>
          <w:sz w:val="22"/>
          <w:szCs w:val="22"/>
        </w:rPr>
        <w:t> les points de l’Assemblée générale :</w:t>
      </w:r>
    </w:p>
    <w:p w14:paraId="280253F4" w14:textId="77777777" w:rsidR="0022723E" w:rsidRPr="00C51D72" w:rsidRDefault="003C36C7">
      <w:pPr>
        <w:pStyle w:val="whP2pod"/>
        <w:rPr>
          <w:rFonts w:ascii="Times New Roman" w:hAnsi="Times New Roman" w:cs="Times New Roman"/>
          <w:sz w:val="22"/>
          <w:szCs w:val="22"/>
        </w:rPr>
      </w:pPr>
      <w:r w:rsidRPr="008515D2">
        <w:rPr>
          <w:rStyle w:val="whP5pod"/>
          <w:rFonts w:ascii="Times New Roman" w:hAnsi="Times New Roman" w:cs="Times New Roman"/>
          <w:b w:val="0"/>
          <w:bCs/>
          <w:sz w:val="22"/>
          <w:szCs w:val="22"/>
        </w:rPr>
        <w:t>Point 1.</w:t>
      </w:r>
      <w:r w:rsidRPr="008515D2">
        <w:rPr>
          <w:rFonts w:ascii="Times New Roman" w:hAnsi="Times New Roman" w:cs="Times New Roman"/>
          <w:b/>
          <w:bCs/>
          <w:sz w:val="22"/>
          <w:szCs w:val="22"/>
        </w:rPr>
        <w:t>-</w:t>
      </w:r>
      <w:r w:rsidRPr="00C51D72">
        <w:rPr>
          <w:rFonts w:ascii="Times New Roman" w:hAnsi="Times New Roman" w:cs="Times New Roman"/>
          <w:sz w:val="22"/>
          <w:szCs w:val="22"/>
        </w:rPr>
        <w:t xml:space="preserve"> Approbation du procès-verbal de l'Assemblée générale ordinaire du 30 juin 2025.</w:t>
      </w:r>
    </w:p>
    <w:p w14:paraId="7C5B8171" w14:textId="77777777" w:rsidR="0022723E" w:rsidRPr="00C51D72" w:rsidRDefault="003C36C7">
      <w:pPr>
        <w:pStyle w:val="whP2pod"/>
        <w:rPr>
          <w:rFonts w:ascii="Times New Roman" w:hAnsi="Times New Roman" w:cs="Times New Roman"/>
          <w:sz w:val="22"/>
          <w:szCs w:val="22"/>
        </w:rPr>
      </w:pPr>
      <w:r w:rsidRPr="008515D2">
        <w:rPr>
          <w:rStyle w:val="whP5pod"/>
          <w:rFonts w:ascii="Times New Roman" w:hAnsi="Times New Roman" w:cs="Times New Roman"/>
          <w:b w:val="0"/>
          <w:bCs/>
          <w:sz w:val="22"/>
          <w:szCs w:val="22"/>
        </w:rPr>
        <w:t>Point 2.</w:t>
      </w:r>
      <w:r w:rsidRPr="008515D2">
        <w:rPr>
          <w:rFonts w:ascii="Times New Roman" w:hAnsi="Times New Roman" w:cs="Times New Roman"/>
          <w:b/>
          <w:bCs/>
          <w:sz w:val="22"/>
          <w:szCs w:val="22"/>
        </w:rPr>
        <w:t>-</w:t>
      </w:r>
      <w:r w:rsidRPr="00C51D72">
        <w:rPr>
          <w:rFonts w:ascii="Times New Roman" w:hAnsi="Times New Roman" w:cs="Times New Roman"/>
          <w:sz w:val="22"/>
          <w:szCs w:val="22"/>
        </w:rPr>
        <w:t xml:space="preserve"> Approbation du plan stratégique 2026-2028.</w:t>
      </w:r>
    </w:p>
    <w:p w14:paraId="5D81C908" w14:textId="77777777" w:rsidR="0022723E" w:rsidRPr="00C51D72" w:rsidRDefault="003C36C7">
      <w:pPr>
        <w:pStyle w:val="whP2pod"/>
        <w:rPr>
          <w:rFonts w:ascii="Times New Roman" w:hAnsi="Times New Roman" w:cs="Times New Roman"/>
          <w:sz w:val="22"/>
          <w:szCs w:val="22"/>
        </w:rPr>
      </w:pPr>
      <w:r w:rsidRPr="008515D2">
        <w:rPr>
          <w:rStyle w:val="whP5pod"/>
          <w:rFonts w:ascii="Times New Roman" w:hAnsi="Times New Roman" w:cs="Times New Roman"/>
          <w:b w:val="0"/>
          <w:bCs/>
          <w:sz w:val="22"/>
          <w:szCs w:val="22"/>
        </w:rPr>
        <w:t>Point 3.-</w:t>
      </w:r>
      <w:r w:rsidRPr="00C51D72">
        <w:rPr>
          <w:rFonts w:ascii="Times New Roman" w:hAnsi="Times New Roman" w:cs="Times New Roman"/>
          <w:sz w:val="22"/>
          <w:szCs w:val="22"/>
        </w:rPr>
        <w:t xml:space="preserve"> Remplacement et désignation d'administrateurs.    </w:t>
      </w:r>
    </w:p>
    <w:p w14:paraId="38351F9C" w14:textId="4478C766" w:rsidR="0022723E" w:rsidRPr="00C51D72" w:rsidRDefault="003C36C7">
      <w:pPr>
        <w:pStyle w:val="whP2pod"/>
        <w:rPr>
          <w:rFonts w:ascii="Times New Roman" w:hAnsi="Times New Roman" w:cs="Times New Roman"/>
          <w:sz w:val="22"/>
          <w:szCs w:val="22"/>
        </w:rPr>
      </w:pPr>
      <w:r w:rsidRPr="008515D2">
        <w:rPr>
          <w:rStyle w:val="whP5pod"/>
          <w:rFonts w:ascii="Times New Roman" w:hAnsi="Times New Roman" w:cs="Times New Roman"/>
          <w:b w:val="0"/>
          <w:bCs/>
          <w:sz w:val="22"/>
          <w:szCs w:val="22"/>
        </w:rPr>
        <w:t>Point 4.-</w:t>
      </w:r>
      <w:r w:rsidRPr="00C51D72">
        <w:rPr>
          <w:rFonts w:ascii="Times New Roman" w:hAnsi="Times New Roman" w:cs="Times New Roman"/>
          <w:sz w:val="22"/>
          <w:szCs w:val="22"/>
        </w:rPr>
        <w:t xml:space="preserve"> Approbation des rémunérations des organes de gestion sur base des recommandations du Comité de rémunération du 6 octobre 2025 et du Conseil d'administration du 13 octobre 2025.  </w:t>
      </w:r>
    </w:p>
    <w:p w14:paraId="541609E6" w14:textId="68866F04" w:rsidR="0022723E" w:rsidRPr="00C51D72"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t>3. CHARGE</w:t>
      </w:r>
      <w:r w:rsidRPr="00C51D72">
        <w:rPr>
          <w:rFonts w:ascii="Times New Roman" w:hAnsi="Times New Roman" w:cs="Times New Roman"/>
          <w:sz w:val="22"/>
          <w:szCs w:val="22"/>
        </w:rPr>
        <w:t> le Collège communal de veiller à l'exécution de la présente décision. </w:t>
      </w:r>
    </w:p>
    <w:p w14:paraId="017BF233" w14:textId="15A60235" w:rsidR="0022723E" w:rsidRPr="00C51D72" w:rsidRDefault="003C36C7" w:rsidP="008515D2">
      <w:pPr>
        <w:pStyle w:val="whP2pod"/>
        <w:rPr>
          <w:rFonts w:ascii="Times New Roman" w:hAnsi="Times New Roman" w:cs="Times New Roman"/>
          <w:color w:val="000000"/>
          <w:sz w:val="22"/>
          <w:szCs w:val="22"/>
        </w:rPr>
      </w:pPr>
      <w:r w:rsidRPr="008515D2">
        <w:rPr>
          <w:rStyle w:val="whP3pod"/>
          <w:rFonts w:ascii="Times New Roman" w:hAnsi="Times New Roman" w:cs="Times New Roman"/>
          <w:b w:val="0"/>
          <w:bCs/>
          <w:sz w:val="22"/>
          <w:szCs w:val="22"/>
        </w:rPr>
        <w:t>4. TRANSMET</w:t>
      </w:r>
      <w:r w:rsidRPr="00C51D72">
        <w:rPr>
          <w:rFonts w:ascii="Times New Roman" w:hAnsi="Times New Roman" w:cs="Times New Roman"/>
          <w:sz w:val="22"/>
          <w:szCs w:val="22"/>
        </w:rPr>
        <w:t> la présente délibération à l'intercommunale AIDE SCRL.</w:t>
      </w:r>
    </w:p>
    <w:p w14:paraId="0B0737BE"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2EF22F41" w14:textId="77777777" w:rsidR="0022723E" w:rsidRPr="00C51D72" w:rsidRDefault="003C36C7">
      <w:pPr>
        <w:pStyle w:val="Titre2"/>
        <w:tabs>
          <w:tab w:val="left" w:pos="1020"/>
        </w:tabs>
        <w:spacing w:before="0" w:after="113"/>
        <w:ind w:left="510" w:hanging="510"/>
        <w:jc w:val="both"/>
        <w:rPr>
          <w:rFonts w:cs="Times New Roman"/>
          <w:szCs w:val="22"/>
        </w:rPr>
      </w:pPr>
      <w:bookmarkStart w:id="30" w:name="__RefHeading___Toc1768_349934923630"/>
      <w:bookmarkEnd w:id="30"/>
      <w:r w:rsidRPr="00C51D72">
        <w:rPr>
          <w:rFonts w:cs="Times New Roman"/>
          <w:color w:val="000000"/>
          <w:szCs w:val="22"/>
          <w:u w:val="none"/>
        </w:rPr>
        <w:t>31.</w:t>
      </w:r>
      <w:r w:rsidRPr="00C51D72">
        <w:rPr>
          <w:rFonts w:cs="Times New Roman"/>
          <w:color w:val="000000"/>
          <w:szCs w:val="22"/>
          <w:u w:val="none"/>
        </w:rPr>
        <w:tab/>
      </w:r>
      <w:r w:rsidRPr="00C51D72">
        <w:rPr>
          <w:rFonts w:cs="Times New Roman"/>
          <w:caps/>
          <w:color w:val="000000"/>
          <w:szCs w:val="22"/>
        </w:rPr>
        <w:t>CONVENTION POUR LA COLLECTE DES TEXTILES MÉNAGERS AVEC LA SOCIÉTÉ TERRE ASBL - RENOUVELLEMENT - RATIFICATION.</w:t>
      </w:r>
    </w:p>
    <w:p w14:paraId="1C0B96CC"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2F5E2E7" w14:textId="1CAF672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l'arrêté du Gouvernement wallon du 23 avril 2009 relatif aux collectes des déchets textiles sur le territoire de la Région wallonne ;  </w:t>
      </w:r>
    </w:p>
    <w:p w14:paraId="646CDDEF" w14:textId="1013EF20"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l'obligation imposée par le décret de conclure une convention entre le collecteur et la Commune sur le territoire de laquelle la collecte est opérée ;  </w:t>
      </w:r>
    </w:p>
    <w:p w14:paraId="5347B4AF" w14:textId="67C9507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sa délibération du 11 mai 2021 relative au renouvellement de ladite convention pour la période 2021-2025 ;  </w:t>
      </w:r>
    </w:p>
    <w:p w14:paraId="65EEDC8E" w14:textId="312043F7"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courriel de la société "Terre asbl", rue de Milmort 690 à 4040 HERSTAL, daté du 18 septembre 2025 et relatif à la convention actuelle dont le terme est prévu le 01 octobre 2025 ;  </w:t>
      </w:r>
    </w:p>
    <w:p w14:paraId="0F5C8956" w14:textId="3DDC1BB2"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délibération du Collège communal du 29 septembre 2025 approuvant le renouvellement de ladite convention, dans l'urgence ;  </w:t>
      </w:r>
    </w:p>
    <w:p w14:paraId="58B245EF" w14:textId="401F41A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la société "Terre asbl" est agréée par la Région wallonne au titre de collecteur de déchets non dangereux sous le n° 2019-06-26-0 ;  </w:t>
      </w:r>
    </w:p>
    <w:p w14:paraId="750F8B5A" w14:textId="0A2649C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Par ces motifs,  </w:t>
      </w:r>
    </w:p>
    <w:p w14:paraId="5C6504BF" w14:textId="2CEAA963" w:rsidR="0022723E" w:rsidRPr="00C51D72" w:rsidRDefault="003C36C7" w:rsidP="008515D2">
      <w:pPr>
        <w:pStyle w:val="whP2pod"/>
        <w:rPr>
          <w:rFonts w:ascii="Times New Roman" w:hAnsi="Times New Roman" w:cs="Times New Roman"/>
          <w:color w:val="000000"/>
          <w:sz w:val="22"/>
          <w:szCs w:val="22"/>
        </w:rPr>
      </w:pPr>
      <w:r w:rsidRPr="008515D2">
        <w:rPr>
          <w:rStyle w:val="whP3pod"/>
          <w:rFonts w:ascii="Times New Roman" w:hAnsi="Times New Roman" w:cs="Times New Roman"/>
          <w:b w:val="0"/>
          <w:bCs/>
          <w:sz w:val="22"/>
          <w:szCs w:val="22"/>
        </w:rPr>
        <w:t>RATIFIE</w:t>
      </w:r>
      <w:r w:rsidRPr="008515D2">
        <w:rPr>
          <w:rFonts w:ascii="Times New Roman" w:hAnsi="Times New Roman" w:cs="Times New Roman"/>
          <w:b/>
          <w:bCs/>
          <w:sz w:val="22"/>
          <w:szCs w:val="22"/>
        </w:rPr>
        <w:t xml:space="preserve"> </w:t>
      </w:r>
      <w:r w:rsidRPr="00C51D72">
        <w:rPr>
          <w:rFonts w:ascii="Times New Roman" w:hAnsi="Times New Roman" w:cs="Times New Roman"/>
          <w:sz w:val="22"/>
          <w:szCs w:val="22"/>
        </w:rPr>
        <w:t>la délibération du Collège communal du 29 septembre 2025 approuvant le renouvellement de ladite convention, telle qu'année à la présente délibération.</w:t>
      </w:r>
    </w:p>
    <w:p w14:paraId="2A73F52B" w14:textId="77777777" w:rsidR="0022723E" w:rsidRPr="00C51D72" w:rsidRDefault="0022723E">
      <w:pPr>
        <w:tabs>
          <w:tab w:val="left" w:pos="1020"/>
        </w:tabs>
        <w:spacing w:after="57"/>
        <w:ind w:left="510" w:hanging="510"/>
        <w:jc w:val="both"/>
        <w:rPr>
          <w:rFonts w:ascii="Times New Roman" w:hAnsi="Times New Roman" w:cs="Times New Roman"/>
          <w:b/>
          <w:bCs/>
          <w:color w:val="000000"/>
          <w:sz w:val="22"/>
          <w:szCs w:val="22"/>
        </w:rPr>
      </w:pPr>
    </w:p>
    <w:p w14:paraId="3D914E09" w14:textId="77777777" w:rsidR="0022723E" w:rsidRPr="00C51D72" w:rsidRDefault="003C36C7">
      <w:pPr>
        <w:pStyle w:val="Titre2"/>
        <w:tabs>
          <w:tab w:val="left" w:pos="1020"/>
        </w:tabs>
        <w:spacing w:before="0" w:after="113"/>
        <w:ind w:left="510" w:hanging="510"/>
        <w:jc w:val="both"/>
        <w:rPr>
          <w:rFonts w:cs="Times New Roman"/>
          <w:szCs w:val="22"/>
        </w:rPr>
      </w:pPr>
      <w:bookmarkStart w:id="31" w:name="__RefHeading___Toc1768_349934923631"/>
      <w:bookmarkEnd w:id="31"/>
      <w:r w:rsidRPr="00C51D72">
        <w:rPr>
          <w:rFonts w:cs="Times New Roman"/>
          <w:color w:val="000000"/>
          <w:szCs w:val="22"/>
          <w:u w:val="none"/>
        </w:rPr>
        <w:t>32.</w:t>
      </w:r>
      <w:r w:rsidRPr="00C51D72">
        <w:rPr>
          <w:rFonts w:cs="Times New Roman"/>
          <w:color w:val="000000"/>
          <w:szCs w:val="22"/>
          <w:u w:val="none"/>
        </w:rPr>
        <w:tab/>
      </w:r>
      <w:r w:rsidRPr="00C51D72">
        <w:rPr>
          <w:rFonts w:cs="Times New Roman"/>
          <w:caps/>
          <w:color w:val="000000"/>
          <w:szCs w:val="22"/>
        </w:rPr>
        <w:t>PERMIS UNIQUE - PUN.2021/01 - BIOFEXHE SRL - DÉCISION DE MANDATER MAÎTRES TASSEROUL &amp; BAUM EN VUE DE REPRÉSENTER LE COLLÈGE COMMUNAL DANS LE CADRE DE L’INTRODUCTION D’UNE REQUÊTE EN ANNULATION AU CONSEIL D’ÉTAT SUITE À LA DÉCISION D’OCTROI DU PERMIS UNIQUE PUN.2021/01 SUR RECOURS INTRODUIT AU GOUVERNEMENT WALLON - RATIFICATION.</w:t>
      </w:r>
    </w:p>
    <w:p w14:paraId="0A6B79D4" w14:textId="77777777" w:rsidR="0022723E" w:rsidRPr="00C51D72" w:rsidRDefault="003C36C7">
      <w:pPr>
        <w:pStyle w:val="Corpsdetexte"/>
        <w:spacing w:after="0"/>
        <w:rPr>
          <w:rFonts w:ascii="Times New Roman" w:hAnsi="Times New Roman" w:cs="Times New Roman"/>
          <w:sz w:val="22"/>
          <w:szCs w:val="22"/>
        </w:rPr>
      </w:pPr>
      <w:r w:rsidRPr="00C51D72">
        <w:rPr>
          <w:rFonts w:ascii="Times New Roman" w:hAnsi="Times New Roman" w:cs="Times New Roman"/>
          <w:sz w:val="22"/>
          <w:szCs w:val="22"/>
        </w:rPr>
        <w:t>Le Conseil communal,</w:t>
      </w:r>
    </w:p>
    <w:p w14:paraId="60447E29" w14:textId="4171134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le Code de la Démocratie Locale et de la Décentralisation, notamment l’article L1242-1 ;  </w:t>
      </w:r>
    </w:p>
    <w:p w14:paraId="6F9DE348" w14:textId="29FE7719"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demande de permis unique introduite par la société BIOFEXHE SRL, représentée par Monsieur MUZIEK Philippe, et relative à la construction d'une unité de cogénération biogaz au départ de coproduits de maïs ainsi que la construction d'abords et d'éléments connexes (voiries internes, hall et bureaux, cabine électrique, silos, bassins des eaux, etc.), l'exploitation d'une unité de cogénération biogaz au départ de coproduits de maïs d'une puissance électrique totale de 1500 kW électriques et l'exploitation de dépôts et installations connexes sur le bien sis à 4350 POUSSET, Route des Blés (cad. : Division 3, section B n°673E, 704B, 706A, 706B, 708D - Division 4, section A n°1083B, 1083C) ; </w:t>
      </w:r>
    </w:p>
    <w:p w14:paraId="06BD0CA0" w14:textId="222BB2CE"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décision sur recours datée du 07 juillet 2025 par laquelle le permis unique sollicité par la société BIOFEXHE SRL est octroyé ; que celle-ci a été réceptionnée en nos services le 10 juillet 2025 ;  </w:t>
      </w:r>
    </w:p>
    <w:p w14:paraId="389D540F" w14:textId="01774F93"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décision du Collège communal du 28 juillet 2025 par laquelle, compte tenu de la complexité du dossier, l'analyse des chances de l'introduction d'un recours au Conseil d'état contre la décision rendue par le Ministre était confiée à Maîtres TASSEROUL &amp; BAUM ; </w:t>
      </w:r>
    </w:p>
    <w:p w14:paraId="72DADCCE" w14:textId="5934597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l'analyse du cabinet d'avocats datée du 29 août 2025 et reprise en annexe ;   </w:t>
      </w:r>
    </w:p>
    <w:p w14:paraId="5F86DC8E" w14:textId="485A4596"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Vu la décision du Collège communal du 01 septembre 2025 mandatant Maîtres TASSEROUL et BAUM pour l'introduction de la requête en annulation au Conseil d'État ;  </w:t>
      </w:r>
    </w:p>
    <w:p w14:paraId="3C9E016F" w14:textId="4A2C78BD"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t>Attendu que cette délibération a été prise dans l'urgence, en raison de la date butoir du 08 septembre 2025 pour l'introduction de ladite requête ;  </w:t>
      </w:r>
    </w:p>
    <w:p w14:paraId="52BAD4E7" w14:textId="2720BE0F" w:rsidR="0022723E" w:rsidRPr="00C51D72" w:rsidRDefault="003C36C7">
      <w:pPr>
        <w:pStyle w:val="whP2pod"/>
        <w:rPr>
          <w:rFonts w:ascii="Times New Roman" w:hAnsi="Times New Roman" w:cs="Times New Roman"/>
          <w:sz w:val="22"/>
          <w:szCs w:val="22"/>
        </w:rPr>
      </w:pPr>
      <w:r w:rsidRPr="00C51D72">
        <w:rPr>
          <w:rFonts w:ascii="Times New Roman" w:hAnsi="Times New Roman" w:cs="Times New Roman"/>
          <w:sz w:val="22"/>
          <w:szCs w:val="22"/>
        </w:rPr>
        <w:lastRenderedPageBreak/>
        <w:t>Par ces motifs,  </w:t>
      </w:r>
    </w:p>
    <w:p w14:paraId="64868D5D" w14:textId="77777777" w:rsidR="0022723E" w:rsidRDefault="003C36C7">
      <w:pPr>
        <w:pStyle w:val="whP2pod"/>
        <w:rPr>
          <w:rFonts w:ascii="Times New Roman" w:hAnsi="Times New Roman" w:cs="Times New Roman"/>
          <w:sz w:val="22"/>
          <w:szCs w:val="22"/>
        </w:rPr>
      </w:pPr>
      <w:r w:rsidRPr="008515D2">
        <w:rPr>
          <w:rStyle w:val="whP3pod"/>
          <w:rFonts w:ascii="Times New Roman" w:hAnsi="Times New Roman" w:cs="Times New Roman"/>
          <w:b w:val="0"/>
          <w:bCs/>
          <w:sz w:val="22"/>
          <w:szCs w:val="22"/>
        </w:rPr>
        <w:t>RATIFIE</w:t>
      </w:r>
      <w:r w:rsidRPr="00C51D72">
        <w:rPr>
          <w:rFonts w:ascii="Times New Roman" w:hAnsi="Times New Roman" w:cs="Times New Roman"/>
          <w:sz w:val="22"/>
          <w:szCs w:val="22"/>
        </w:rPr>
        <w:t xml:space="preserve"> la délibération du Collège communal du 01 septembre 2025 décidant de confier les intérêts communaux à Maîtres TASSEROUL &amp; BAUM pour une mission complète afin de représenter le Collège communal dans le cadre de l’introduction d’une requête en annulation au Conseil d’État contre la décision sur recours datée du 07 juillet 2025 par laquelle le permis unique sollicité par la société BIOFEXHE SRL est octroyé.</w:t>
      </w:r>
    </w:p>
    <w:p w14:paraId="7F120371" w14:textId="77777777" w:rsidR="00617A66" w:rsidRDefault="00617A66">
      <w:pPr>
        <w:pStyle w:val="whP2pod"/>
        <w:rPr>
          <w:rFonts w:ascii="Times New Roman" w:hAnsi="Times New Roman" w:cs="Times New Roman"/>
          <w:sz w:val="22"/>
          <w:szCs w:val="22"/>
        </w:rPr>
      </w:pPr>
    </w:p>
    <w:sectPr w:rsidR="00617A66">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87B"/>
    <w:multiLevelType w:val="multilevel"/>
    <w:tmpl w:val="828461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052A4F"/>
    <w:multiLevelType w:val="multilevel"/>
    <w:tmpl w:val="8F841E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BAE40B7"/>
    <w:multiLevelType w:val="multilevel"/>
    <w:tmpl w:val="E00249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C8E4AA3"/>
    <w:multiLevelType w:val="multilevel"/>
    <w:tmpl w:val="1616BA0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D343B1F"/>
    <w:multiLevelType w:val="multilevel"/>
    <w:tmpl w:val="8EDAACD2"/>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80628A"/>
    <w:multiLevelType w:val="multilevel"/>
    <w:tmpl w:val="19E2567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398501C"/>
    <w:multiLevelType w:val="multilevel"/>
    <w:tmpl w:val="F57654A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5185F9D"/>
    <w:multiLevelType w:val="multilevel"/>
    <w:tmpl w:val="9F180B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5D662D0"/>
    <w:multiLevelType w:val="multilevel"/>
    <w:tmpl w:val="408E041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9922FF3"/>
    <w:multiLevelType w:val="multilevel"/>
    <w:tmpl w:val="6868E9D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99C22BD"/>
    <w:multiLevelType w:val="multilevel"/>
    <w:tmpl w:val="DDC8EF66"/>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B763481"/>
    <w:multiLevelType w:val="multilevel"/>
    <w:tmpl w:val="13EE070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13809FB"/>
    <w:multiLevelType w:val="multilevel"/>
    <w:tmpl w:val="04ACB3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270572C"/>
    <w:multiLevelType w:val="multilevel"/>
    <w:tmpl w:val="FC54C1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55B534F"/>
    <w:multiLevelType w:val="multilevel"/>
    <w:tmpl w:val="97C4C7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96832FF"/>
    <w:multiLevelType w:val="multilevel"/>
    <w:tmpl w:val="40127A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3034770"/>
    <w:multiLevelType w:val="multilevel"/>
    <w:tmpl w:val="8C2608BC"/>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35A5041"/>
    <w:multiLevelType w:val="multilevel"/>
    <w:tmpl w:val="242AC4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EBF7496"/>
    <w:multiLevelType w:val="multilevel"/>
    <w:tmpl w:val="FBC667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5093959"/>
    <w:multiLevelType w:val="multilevel"/>
    <w:tmpl w:val="85DCBC26"/>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8522E99"/>
    <w:multiLevelType w:val="multilevel"/>
    <w:tmpl w:val="BBB23DB2"/>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A0C70AB"/>
    <w:multiLevelType w:val="multilevel"/>
    <w:tmpl w:val="4DB825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D574518"/>
    <w:multiLevelType w:val="multilevel"/>
    <w:tmpl w:val="6826059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3" w15:restartNumberingAfterBreak="0">
    <w:nsid w:val="50E944D4"/>
    <w:multiLevelType w:val="multilevel"/>
    <w:tmpl w:val="92B484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14B32B7"/>
    <w:multiLevelType w:val="multilevel"/>
    <w:tmpl w:val="8B6C1C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6854942"/>
    <w:multiLevelType w:val="multilevel"/>
    <w:tmpl w:val="7164A5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8124027"/>
    <w:multiLevelType w:val="multilevel"/>
    <w:tmpl w:val="8F040FA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E336932"/>
    <w:multiLevelType w:val="multilevel"/>
    <w:tmpl w:val="DD50EFB6"/>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74F77A90"/>
    <w:multiLevelType w:val="multilevel"/>
    <w:tmpl w:val="775096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758827E0"/>
    <w:multiLevelType w:val="multilevel"/>
    <w:tmpl w:val="FFCA71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5B56268"/>
    <w:multiLevelType w:val="multilevel"/>
    <w:tmpl w:val="F02EA440"/>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6125012">
    <w:abstractNumId w:val="22"/>
  </w:num>
  <w:num w:numId="2" w16cid:durableId="775633048">
    <w:abstractNumId w:val="19"/>
  </w:num>
  <w:num w:numId="3" w16cid:durableId="216361479">
    <w:abstractNumId w:val="16"/>
  </w:num>
  <w:num w:numId="4" w16cid:durableId="738283081">
    <w:abstractNumId w:val="4"/>
  </w:num>
  <w:num w:numId="5" w16cid:durableId="1668709041">
    <w:abstractNumId w:val="26"/>
  </w:num>
  <w:num w:numId="6" w16cid:durableId="1999534919">
    <w:abstractNumId w:val="6"/>
  </w:num>
  <w:num w:numId="7" w16cid:durableId="342973552">
    <w:abstractNumId w:val="26"/>
    <w:lvlOverride w:ilvl="0">
      <w:startOverride w:val="1"/>
    </w:lvlOverride>
  </w:num>
  <w:num w:numId="8" w16cid:durableId="1945192593">
    <w:abstractNumId w:val="1"/>
  </w:num>
  <w:num w:numId="9" w16cid:durableId="539319946">
    <w:abstractNumId w:val="1"/>
    <w:lvlOverride w:ilvl="0">
      <w:startOverride w:val="1"/>
    </w:lvlOverride>
  </w:num>
  <w:num w:numId="10" w16cid:durableId="1547642608">
    <w:abstractNumId w:val="27"/>
  </w:num>
  <w:num w:numId="11" w16cid:durableId="1652513863">
    <w:abstractNumId w:val="10"/>
  </w:num>
  <w:num w:numId="12" w16cid:durableId="1058819148">
    <w:abstractNumId w:val="30"/>
  </w:num>
  <w:num w:numId="13" w16cid:durableId="86658623">
    <w:abstractNumId w:val="3"/>
  </w:num>
  <w:num w:numId="14" w16cid:durableId="379012963">
    <w:abstractNumId w:val="3"/>
    <w:lvlOverride w:ilvl="0">
      <w:startOverride w:val="1"/>
    </w:lvlOverride>
  </w:num>
  <w:num w:numId="15" w16cid:durableId="1266645905">
    <w:abstractNumId w:val="28"/>
  </w:num>
  <w:num w:numId="16" w16cid:durableId="1398867857">
    <w:abstractNumId w:val="20"/>
  </w:num>
  <w:num w:numId="17" w16cid:durableId="1737626247">
    <w:abstractNumId w:val="5"/>
  </w:num>
  <w:num w:numId="18" w16cid:durableId="1801610246">
    <w:abstractNumId w:val="5"/>
    <w:lvlOverride w:ilvl="0">
      <w:startOverride w:val="2"/>
    </w:lvlOverride>
  </w:num>
  <w:num w:numId="19" w16cid:durableId="1989287817">
    <w:abstractNumId w:val="12"/>
  </w:num>
  <w:num w:numId="20" w16cid:durableId="98186426">
    <w:abstractNumId w:val="7"/>
  </w:num>
  <w:num w:numId="21" w16cid:durableId="454908661">
    <w:abstractNumId w:val="24"/>
  </w:num>
  <w:num w:numId="22" w16cid:durableId="1986278890">
    <w:abstractNumId w:val="0"/>
  </w:num>
  <w:num w:numId="23" w16cid:durableId="876509911">
    <w:abstractNumId w:val="9"/>
  </w:num>
  <w:num w:numId="24" w16cid:durableId="2066683830">
    <w:abstractNumId w:val="9"/>
    <w:lvlOverride w:ilvl="0">
      <w:startOverride w:val="1"/>
    </w:lvlOverride>
  </w:num>
  <w:num w:numId="25" w16cid:durableId="1497571507">
    <w:abstractNumId w:val="23"/>
  </w:num>
  <w:num w:numId="26" w16cid:durableId="1850410541">
    <w:abstractNumId w:val="13"/>
  </w:num>
  <w:num w:numId="27" w16cid:durableId="13121910">
    <w:abstractNumId w:val="18"/>
  </w:num>
  <w:num w:numId="28" w16cid:durableId="696271033">
    <w:abstractNumId w:val="2"/>
  </w:num>
  <w:num w:numId="29" w16cid:durableId="207110761">
    <w:abstractNumId w:val="21"/>
  </w:num>
  <w:num w:numId="30" w16cid:durableId="1656030133">
    <w:abstractNumId w:val="8"/>
  </w:num>
  <w:num w:numId="31" w16cid:durableId="1820221054">
    <w:abstractNumId w:val="17"/>
  </w:num>
  <w:num w:numId="32" w16cid:durableId="538251195">
    <w:abstractNumId w:val="15"/>
  </w:num>
  <w:num w:numId="33" w16cid:durableId="956594866">
    <w:abstractNumId w:val="11"/>
  </w:num>
  <w:num w:numId="34" w16cid:durableId="107049265">
    <w:abstractNumId w:val="11"/>
    <w:lvlOverride w:ilvl="0">
      <w:startOverride w:val="1"/>
    </w:lvlOverride>
  </w:num>
  <w:num w:numId="35" w16cid:durableId="540703536">
    <w:abstractNumId w:val="4"/>
    <w:lvlOverride w:ilvl="0">
      <w:startOverride w:val="1"/>
    </w:lvlOverride>
  </w:num>
  <w:num w:numId="36" w16cid:durableId="133186039">
    <w:abstractNumId w:val="16"/>
    <w:lvlOverride w:ilvl="0">
      <w:startOverride w:val="1"/>
    </w:lvlOverride>
  </w:num>
  <w:num w:numId="37" w16cid:durableId="3091461">
    <w:abstractNumId w:val="29"/>
  </w:num>
  <w:num w:numId="38" w16cid:durableId="457382040">
    <w:abstractNumId w:val="14"/>
  </w:num>
  <w:num w:numId="39" w16cid:durableId="12558667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23E"/>
    <w:rsid w:val="00122EE8"/>
    <w:rsid w:val="0022723E"/>
    <w:rsid w:val="003410F7"/>
    <w:rsid w:val="003C36C7"/>
    <w:rsid w:val="005B106B"/>
    <w:rsid w:val="005B3BFB"/>
    <w:rsid w:val="00617A66"/>
    <w:rsid w:val="00744AF6"/>
    <w:rsid w:val="008515D2"/>
    <w:rsid w:val="00A361B7"/>
    <w:rsid w:val="00C51D72"/>
    <w:rsid w:val="00C55720"/>
    <w:rsid w:val="00D527FE"/>
    <w:rsid w:val="00E80C4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52FC"/>
  <w15:docId w15:val="{B5E578DA-95FA-431A-9ACD-A6DB1A79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hP1pod">
    <w:name w:val="whP1pod"/>
    <w:qFormat/>
    <w:rPr>
      <w:b/>
      <w:u w:val="single"/>
    </w:rPr>
  </w:style>
  <w:style w:type="character" w:customStyle="1" w:styleId="whP3pod">
    <w:name w:val="whP3pod"/>
    <w:qFormat/>
    <w:rPr>
      <w:b/>
    </w:rPr>
  </w:style>
  <w:style w:type="character" w:customStyle="1" w:styleId="whP4pod">
    <w:name w:val="whP4pod"/>
    <w:qFormat/>
    <w:rPr>
      <w:i/>
    </w:rPr>
  </w:style>
  <w:style w:type="character" w:customStyle="1" w:styleId="whP5pod">
    <w:name w:val="whP5pod"/>
    <w:qFormat/>
    <w:rPr>
      <w:b/>
      <w:u w:val="single"/>
    </w:rPr>
  </w:style>
  <w:style w:type="character" w:customStyle="1" w:styleId="whP6pod">
    <w:name w:val="whP6pod"/>
    <w:qFormat/>
    <w:rPr>
      <w:u w:val="single"/>
    </w:rPr>
  </w:style>
  <w:style w:type="character" w:customStyle="1" w:styleId="whP11pod">
    <w:name w:val="whP11pod"/>
    <w:qFormat/>
    <w:rPr>
      <w:b/>
    </w:rPr>
  </w:style>
  <w:style w:type="character" w:customStyle="1" w:styleId="whP13pod">
    <w:name w:val="whP13pod"/>
    <w:qFormat/>
    <w:rPr>
      <w:b/>
      <w:i/>
    </w:rPr>
  </w:style>
  <w:style w:type="character" w:customStyle="1" w:styleId="whP19pod">
    <w:name w:val="whP19pod"/>
    <w:qFormat/>
    <w:rPr>
      <w:vertAlign w:val="superscript"/>
    </w:rPr>
  </w:style>
  <w:style w:type="character" w:customStyle="1" w:styleId="whP20pod">
    <w:name w:val="whP20pod"/>
    <w:qFormat/>
    <w:rPr>
      <w:b/>
      <w:i/>
      <w:u w:val="single"/>
    </w:rPr>
  </w:style>
  <w:style w:type="character" w:customStyle="1" w:styleId="whP21pod">
    <w:name w:val="whP21pod"/>
    <w:qFormat/>
    <w:rPr>
      <w:b/>
      <w:i/>
      <w:u w:val="single"/>
    </w:rPr>
  </w:style>
  <w:style w:type="character" w:customStyle="1" w:styleId="whP27pod">
    <w:name w:val="whP27pod"/>
    <w:qFormat/>
    <w:rPr>
      <w:b/>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6"/>
      </w:numPr>
    </w:pPr>
  </w:style>
  <w:style w:type="paragraph" w:customStyle="1" w:styleId="podNumberItem">
    <w:name w:val="podNumberItem"/>
    <w:basedOn w:val="Normal"/>
    <w:qFormat/>
    <w:pPr>
      <w:numPr>
        <w:numId w:val="5"/>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whP2pod">
    <w:name w:val="whP2pod"/>
    <w:basedOn w:val="Normal"/>
    <w:qFormat/>
    <w:pPr>
      <w:jc w:val="both"/>
    </w:pPr>
  </w:style>
  <w:style w:type="paragraph" w:customStyle="1" w:styleId="whP7pod">
    <w:name w:val="whP7pod"/>
    <w:basedOn w:val="Tablecell"/>
    <w:qFormat/>
    <w:pPr>
      <w:jc w:val="both"/>
    </w:pPr>
  </w:style>
  <w:style w:type="paragraph" w:customStyle="1" w:styleId="whP9pod">
    <w:name w:val="whP9pod"/>
    <w:basedOn w:val="Tablecell"/>
    <w:qFormat/>
    <w:pPr>
      <w:jc w:val="center"/>
    </w:pPr>
  </w:style>
  <w:style w:type="paragraph" w:customStyle="1" w:styleId="whP10pod">
    <w:name w:val="whP10pod"/>
    <w:basedOn w:val="Tablecell"/>
    <w:qFormat/>
    <w:pPr>
      <w:jc w:val="right"/>
    </w:pPr>
  </w:style>
  <w:style w:type="paragraph" w:customStyle="1" w:styleId="whP14pod">
    <w:name w:val="whP14pod"/>
    <w:basedOn w:val="podBulletItem"/>
    <w:qFormat/>
    <w:pPr>
      <w:jc w:val="both"/>
    </w:pPr>
  </w:style>
  <w:style w:type="paragraph" w:customStyle="1" w:styleId="whP15pod">
    <w:name w:val="whP15pod"/>
    <w:basedOn w:val="Normal"/>
    <w:qFormat/>
    <w:pPr>
      <w:jc w:val="center"/>
    </w:pPr>
  </w:style>
  <w:style w:type="paragraph" w:customStyle="1" w:styleId="whP16pod">
    <w:name w:val="whP16pod"/>
    <w:basedOn w:val="podNumberItem"/>
    <w:qFormat/>
    <w:pPr>
      <w:jc w:val="both"/>
    </w:pPr>
  </w:style>
  <w:style w:type="paragraph" w:customStyle="1" w:styleId="whP17pod">
    <w:name w:val="whP17pod"/>
    <w:basedOn w:val="Normal"/>
    <w:qFormat/>
    <w:pPr>
      <w:ind w:hanging="318"/>
      <w:jc w:val="both"/>
    </w:pPr>
  </w:style>
  <w:style w:type="paragraph" w:customStyle="1" w:styleId="whP18pod">
    <w:name w:val="whP18pod"/>
    <w:basedOn w:val="Normal"/>
    <w:qFormat/>
    <w:pPr>
      <w:ind w:hanging="318"/>
      <w:jc w:val="center"/>
    </w:pPr>
  </w:style>
  <w:style w:type="paragraph" w:customStyle="1" w:styleId="whP24pod">
    <w:name w:val="whP24pod"/>
    <w:basedOn w:val="Tablecell"/>
    <w:qFormat/>
    <w:pPr>
      <w:ind w:firstLine="220"/>
      <w:jc w:val="both"/>
    </w:pPr>
  </w:style>
  <w:style w:type="paragraph" w:customStyle="1" w:styleId="whP25pod">
    <w:name w:val="whP25pod"/>
    <w:basedOn w:val="Normal"/>
    <w:qFormat/>
    <w:pPr>
      <w:ind w:firstLine="708"/>
      <w:jc w:val="both"/>
    </w:pPr>
  </w:style>
  <w:style w:type="paragraph" w:customStyle="1" w:styleId="whP26pod">
    <w:name w:val="whP26pod"/>
    <w:basedOn w:val="Normal"/>
    <w:qFormat/>
    <w:pPr>
      <w:ind w:left="847" w:hanging="285"/>
      <w:jc w:val="both"/>
    </w:pPr>
  </w:style>
  <w:style w:type="paragraph" w:customStyle="1" w:styleId="whP28pod">
    <w:name w:val="whP28pod"/>
    <w:basedOn w:val="Normal"/>
    <w:qFormat/>
    <w:pPr>
      <w:ind w:left="565"/>
      <w:jc w:val="both"/>
    </w:pPr>
  </w:style>
  <w:style w:type="paragraph" w:customStyle="1" w:styleId="whP29pod">
    <w:name w:val="whP29pod"/>
    <w:basedOn w:val="Normal"/>
    <w:qFormat/>
    <w:pPr>
      <w:ind w:left="13"/>
      <w:jc w:val="both"/>
    </w:pPr>
  </w:style>
  <w:style w:type="paragraph" w:customStyle="1" w:styleId="whP30pod">
    <w:name w:val="whP30pod"/>
    <w:basedOn w:val="Normal"/>
    <w:qFormat/>
    <w:pPr>
      <w:ind w:left="103" w:hanging="142"/>
      <w:jc w:val="both"/>
    </w:pPr>
  </w:style>
  <w:style w:type="paragraph" w:customStyle="1" w:styleId="whP32pod">
    <w:name w:val="whP32pod"/>
    <w:basedOn w:val="Normal"/>
    <w:qFormat/>
    <w:pPr>
      <w:ind w:left="488" w:hanging="426"/>
      <w:jc w:val="both"/>
    </w:pPr>
  </w:style>
  <w:style w:type="paragraph" w:customStyle="1" w:styleId="whP33pod">
    <w:name w:val="whP33pod"/>
    <w:basedOn w:val="Normal"/>
    <w:qFormat/>
    <w:pPr>
      <w:ind w:left="1206" w:hanging="1410"/>
      <w:jc w:val="both"/>
    </w:pPr>
  </w:style>
  <w:style w:type="paragraph" w:customStyle="1" w:styleId="whP34pod">
    <w:name w:val="whP34pod"/>
    <w:basedOn w:val="Normal"/>
    <w:qFormat/>
    <w:pPr>
      <w:ind w:left="1091" w:hanging="1276"/>
      <w:jc w:val="both"/>
    </w:pPr>
  </w:style>
  <w:style w:type="paragraph" w:customStyle="1" w:styleId="whP35pod">
    <w:name w:val="whP35pod"/>
    <w:basedOn w:val="Normal"/>
    <w:qFormat/>
    <w:pPr>
      <w:ind w:left="1142"/>
      <w:jc w:val="both"/>
    </w:pPr>
  </w:style>
  <w:style w:type="paragraph" w:customStyle="1" w:styleId="whP36pod">
    <w:name w:val="whP36pod"/>
    <w:basedOn w:val="Normal"/>
    <w:qFormat/>
    <w:pPr>
      <w:ind w:left="526"/>
      <w:jc w:val="both"/>
    </w:pPr>
  </w:style>
  <w:style w:type="paragraph" w:customStyle="1" w:styleId="whP37pod">
    <w:name w:val="whP37pod"/>
    <w:basedOn w:val="Tablecell"/>
    <w:qFormat/>
    <w:pPr>
      <w:ind w:right="719"/>
      <w:jc w:val="both"/>
    </w:pPr>
  </w:style>
  <w:style w:type="numbering" w:customStyle="1" w:styleId="L-square">
    <w:name w:val="L-square"/>
    <w:qFormat/>
  </w:style>
  <w:style w:type="numbering" w:customStyle="1" w:styleId="L-lower-roman">
    <w:name w:val="L-lower-roman"/>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39</Pages>
  <Words>25617</Words>
  <Characters>140898</Characters>
  <Application>Microsoft Office Word</Application>
  <DocSecurity>0</DocSecurity>
  <Lines>1174</Lines>
  <Paragraphs>332</Paragraphs>
  <ScaleCrop>false</ScaleCrop>
  <Company/>
  <LinksUpToDate>false</LinksUpToDate>
  <CharactersWithSpaces>166183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tmpRgA4Z4</dc:title>
  <dc:subject/>
  <dc:creator>Antoine Duchêne</dc:creator>
  <dc:description/>
  <cp:lastModifiedBy>Veronique Timmermans</cp:lastModifiedBy>
  <cp:revision>11</cp:revision>
  <dcterms:created xsi:type="dcterms:W3CDTF">2025-11-13T12:27:00Z</dcterms:created>
  <dcterms:modified xsi:type="dcterms:W3CDTF">2026-01-21T12:38:00Z</dcterms:modified>
  <dc:language>en-US</dc:language>
</cp:coreProperties>
</file>