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F5887" w14:textId="77777777" w:rsidR="00EC7D63" w:rsidRPr="005C6946" w:rsidRDefault="003E1155">
      <w:pPr>
        <w:widowControl w:val="0"/>
        <w:tabs>
          <w:tab w:val="left" w:pos="1134"/>
          <w:tab w:val="left" w:pos="7560"/>
          <w:tab w:val="left" w:pos="10320"/>
        </w:tabs>
        <w:autoSpaceDE w:val="0"/>
        <w:jc w:val="center"/>
        <w:rPr>
          <w:rFonts w:ascii="Times New Roman" w:hAnsi="Times New Roman" w:cs="Times New Roman"/>
          <w:sz w:val="22"/>
          <w:szCs w:val="22"/>
        </w:rPr>
      </w:pPr>
      <w:r w:rsidRPr="005C6946">
        <w:rPr>
          <w:rFonts w:ascii="Times New Roman" w:hAnsi="Times New Roman" w:cs="Times New Roman"/>
          <w:b/>
          <w:bCs/>
          <w:sz w:val="22"/>
          <w:szCs w:val="22"/>
          <w:u w:val="single"/>
        </w:rPr>
        <w:t xml:space="preserve">SEANCE DU </w:t>
      </w:r>
      <w:r w:rsidRPr="005C6946">
        <w:rPr>
          <w:rFonts w:ascii="Times New Roman" w:hAnsi="Times New Roman" w:cs="Times New Roman"/>
          <w:b/>
          <w:bCs/>
          <w:caps/>
          <w:sz w:val="22"/>
          <w:szCs w:val="22"/>
          <w:u w:val="single"/>
        </w:rPr>
        <w:t>25 septembre 2025</w:t>
      </w:r>
    </w:p>
    <w:p w14:paraId="2884064A" w14:textId="77777777" w:rsidR="00EC7D63" w:rsidRPr="005C6946" w:rsidRDefault="00EC7D63">
      <w:pPr>
        <w:tabs>
          <w:tab w:val="left" w:pos="0"/>
          <w:tab w:val="left" w:pos="1560"/>
        </w:tabs>
        <w:autoSpaceDE w:val="0"/>
        <w:ind w:right="23"/>
        <w:jc w:val="both"/>
        <w:rPr>
          <w:rFonts w:ascii="Times New Roman" w:hAnsi="Times New Roman" w:cs="Times New Roman"/>
          <w:bCs/>
          <w:sz w:val="22"/>
          <w:szCs w:val="22"/>
        </w:rPr>
      </w:pPr>
    </w:p>
    <w:p w14:paraId="416F1DF1" w14:textId="7EAFFFD5" w:rsidR="00EC7D63" w:rsidRDefault="003E1155" w:rsidP="000378E8">
      <w:pPr>
        <w:rPr>
          <w:rFonts w:ascii="Times New Roman" w:hAnsi="Times New Roman" w:cs="Times New Roman"/>
          <w:sz w:val="22"/>
          <w:szCs w:val="22"/>
        </w:rPr>
      </w:pPr>
      <w:r w:rsidRPr="005C6946">
        <w:rPr>
          <w:rStyle w:val="QHx1pod"/>
          <w:rFonts w:ascii="Times New Roman" w:hAnsi="Times New Roman" w:cs="Times New Roman"/>
          <w:sz w:val="22"/>
          <w:szCs w:val="22"/>
        </w:rPr>
        <w:t>Présents :</w:t>
      </w:r>
      <w:r w:rsidRPr="005C6946">
        <w:rPr>
          <w:rFonts w:ascii="Times New Roman" w:hAnsi="Times New Roman" w:cs="Times New Roman"/>
          <w:sz w:val="22"/>
          <w:szCs w:val="22"/>
        </w:rPr>
        <w:br/>
        <w:t xml:space="preserve">Monsieur Luc LHOEST, Bourgmestre </w:t>
      </w:r>
      <w:r w:rsidR="000378E8">
        <w:rPr>
          <w:rFonts w:ascii="Times New Roman" w:hAnsi="Times New Roman" w:cs="Times New Roman"/>
          <w:sz w:val="22"/>
          <w:szCs w:val="22"/>
        </w:rPr>
        <w:t>–</w:t>
      </w:r>
      <w:r w:rsidRPr="005C6946">
        <w:rPr>
          <w:rFonts w:ascii="Times New Roman" w:hAnsi="Times New Roman" w:cs="Times New Roman"/>
          <w:sz w:val="22"/>
          <w:szCs w:val="22"/>
        </w:rPr>
        <w:t xml:space="preserve"> Président</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w:t>
      </w:r>
      <w:r w:rsidRPr="005C6946">
        <w:rPr>
          <w:rFonts w:ascii="Times New Roman" w:hAnsi="Times New Roman" w:cs="Times New Roman"/>
          <w:sz w:val="22"/>
          <w:szCs w:val="22"/>
        </w:rPr>
        <w:br/>
        <w:t>Monsieur Nicolas ANDRIES, Madame Hélène PENDEVILLE, Monsieur Michel PIRON, Madame Isabelle COHEUR, Échevins</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w:t>
      </w:r>
      <w:r w:rsidRPr="005C6946">
        <w:rPr>
          <w:rFonts w:ascii="Times New Roman" w:hAnsi="Times New Roman" w:cs="Times New Roman"/>
          <w:sz w:val="22"/>
          <w:szCs w:val="22"/>
        </w:rPr>
        <w:br/>
        <w:t>Monsieur René SEUTIN, Président du CPAS</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w:t>
      </w:r>
      <w:r w:rsidRPr="005C6946">
        <w:rPr>
          <w:rFonts w:ascii="Times New Roman" w:hAnsi="Times New Roman" w:cs="Times New Roman"/>
          <w:sz w:val="22"/>
          <w:szCs w:val="22"/>
        </w:rPr>
        <w:br/>
        <w:t>Madame Emeline DELHALLE, Madame Aline DEPAS, Madame Gisèle DEPAS, Madame Véronique DE MARNEFFE, Monsieur Jean-Marie HEYNE, Madame Géraldine LEVOISIN, Monsieur Laurent MAQUOI, Monsieur Rudy PIRARD, Monsieur Olivier ZELEZNIK, Madame Anne-Françoise ZIEGELS, Madame Kimberley GERKENS, Conseillers</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w:t>
      </w:r>
      <w:r w:rsidRPr="005C6946">
        <w:rPr>
          <w:rFonts w:ascii="Times New Roman" w:hAnsi="Times New Roman" w:cs="Times New Roman"/>
          <w:sz w:val="22"/>
          <w:szCs w:val="22"/>
        </w:rPr>
        <w:br/>
        <w:t>Monsieur Michel CHARLIER, Directeur Général f.f.</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w:t>
      </w:r>
    </w:p>
    <w:p w14:paraId="4C250EC2" w14:textId="77777777" w:rsidR="000378E8" w:rsidRPr="005C6946" w:rsidRDefault="000378E8" w:rsidP="000378E8">
      <w:pPr>
        <w:rPr>
          <w:rFonts w:ascii="Times New Roman" w:hAnsi="Times New Roman" w:cs="Times New Roman"/>
          <w:bCs/>
          <w:sz w:val="22"/>
          <w:szCs w:val="22"/>
        </w:rPr>
      </w:pPr>
    </w:p>
    <w:p w14:paraId="5EDC7A3E" w14:textId="77777777" w:rsidR="00EC7D63" w:rsidRPr="005C6946" w:rsidRDefault="003E1155">
      <w:pPr>
        <w:pStyle w:val="CCPoint"/>
        <w:pBdr>
          <w:top w:val="single" w:sz="4" w:space="9" w:color="000000"/>
          <w:bottom w:val="single" w:sz="4" w:space="9" w:color="000000"/>
        </w:pBdr>
        <w:spacing w:before="0" w:after="113"/>
        <w:ind w:left="3402" w:right="3402" w:firstLine="0"/>
        <w:jc w:val="center"/>
        <w:rPr>
          <w:bCs/>
          <w:caps/>
          <w:color w:val="000000"/>
          <w:sz w:val="22"/>
          <w:szCs w:val="22"/>
        </w:rPr>
      </w:pPr>
      <w:r w:rsidRPr="005C6946">
        <w:rPr>
          <w:bCs/>
          <w:caps/>
          <w:color w:val="000000"/>
          <w:sz w:val="22"/>
          <w:szCs w:val="22"/>
        </w:rPr>
        <w:t>Séance publique</w:t>
      </w:r>
    </w:p>
    <w:p w14:paraId="68C42CED" w14:textId="77777777" w:rsidR="00EC7D63" w:rsidRPr="005C6946" w:rsidRDefault="003E1155">
      <w:pPr>
        <w:pStyle w:val="Titre2"/>
        <w:tabs>
          <w:tab w:val="left" w:pos="1020"/>
        </w:tabs>
        <w:spacing w:before="0" w:after="113"/>
        <w:ind w:left="510" w:hanging="510"/>
        <w:jc w:val="both"/>
        <w:rPr>
          <w:rFonts w:cs="Times New Roman"/>
          <w:szCs w:val="22"/>
        </w:rPr>
      </w:pPr>
      <w:bookmarkStart w:id="0" w:name="__RefHeading___Toc1768_3499349236"/>
      <w:bookmarkEnd w:id="0"/>
      <w:r w:rsidRPr="005C6946">
        <w:rPr>
          <w:rFonts w:cs="Times New Roman"/>
          <w:color w:val="000000"/>
          <w:szCs w:val="22"/>
          <w:u w:val="none"/>
        </w:rPr>
        <w:t>1.</w:t>
      </w:r>
      <w:r w:rsidRPr="005C6946">
        <w:rPr>
          <w:rFonts w:cs="Times New Roman"/>
          <w:color w:val="000000"/>
          <w:szCs w:val="22"/>
          <w:u w:val="none"/>
        </w:rPr>
        <w:tab/>
      </w:r>
      <w:r w:rsidRPr="005C6946">
        <w:rPr>
          <w:rFonts w:cs="Times New Roman"/>
          <w:caps/>
          <w:color w:val="000000"/>
          <w:szCs w:val="22"/>
        </w:rPr>
        <w:t>APPROBATION DE LA SÉANCE PRÉCÉDENTE DU 28 AOÛT 2025.</w:t>
      </w:r>
    </w:p>
    <w:p w14:paraId="48FC6015"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0EFB4559" w14:textId="44B3FCB2" w:rsidR="00EC7D63" w:rsidRPr="005C6946" w:rsidRDefault="003E1155" w:rsidP="000378E8">
      <w:pPr>
        <w:pStyle w:val="QHx2pod"/>
        <w:rPr>
          <w:rFonts w:ascii="Times New Roman" w:hAnsi="Times New Roman" w:cs="Times New Roman"/>
          <w:sz w:val="22"/>
          <w:szCs w:val="22"/>
        </w:rPr>
      </w:pPr>
      <w:r w:rsidRPr="005C6946">
        <w:rPr>
          <w:rFonts w:ascii="Times New Roman" w:hAnsi="Times New Roman" w:cs="Times New Roman"/>
          <w:sz w:val="22"/>
          <w:szCs w:val="22"/>
        </w:rPr>
        <w:t>Conformément aux articles 47 et 48 du Règlement d'ordre intérieur du Conseil communal, le procès-verbal de la séance du 28 août 2025, mis à disposition des Conseillers, est approuvé tenant compte des modifications demandées par la Conseillère communale, Madame Anne-Françoise HANNON-ZIEGELS du groupe RENOUVEAU.</w:t>
      </w:r>
    </w:p>
    <w:p w14:paraId="58A02DEA" w14:textId="77777777" w:rsidR="00EC7D63" w:rsidRPr="005C6946" w:rsidRDefault="00EC7D63">
      <w:pPr>
        <w:pStyle w:val="Titre2"/>
        <w:tabs>
          <w:tab w:val="left" w:pos="1020"/>
        </w:tabs>
        <w:spacing w:before="0" w:after="0"/>
        <w:ind w:left="510" w:hanging="510"/>
        <w:jc w:val="both"/>
        <w:rPr>
          <w:rFonts w:cs="Times New Roman"/>
          <w:color w:val="000000"/>
          <w:szCs w:val="22"/>
          <w:u w:val="none"/>
        </w:rPr>
      </w:pPr>
    </w:p>
    <w:p w14:paraId="140E47E5"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Madame Kimberley GERKENS entre en séance avant la discussion du point.</w:t>
      </w:r>
    </w:p>
    <w:p w14:paraId="02E8E686"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3BE05D59" w14:textId="77777777" w:rsidR="00EC7D63" w:rsidRPr="005C6946" w:rsidRDefault="003E1155">
      <w:pPr>
        <w:pStyle w:val="Titre2"/>
        <w:tabs>
          <w:tab w:val="left" w:pos="1020"/>
        </w:tabs>
        <w:spacing w:before="0" w:after="113"/>
        <w:ind w:left="510" w:hanging="510"/>
        <w:jc w:val="both"/>
        <w:rPr>
          <w:rFonts w:cs="Times New Roman"/>
          <w:szCs w:val="22"/>
        </w:rPr>
      </w:pPr>
      <w:bookmarkStart w:id="1" w:name="__RefHeading___Toc1768_34993492361"/>
      <w:bookmarkEnd w:id="1"/>
      <w:r w:rsidRPr="005C6946">
        <w:rPr>
          <w:rFonts w:cs="Times New Roman"/>
          <w:color w:val="000000"/>
          <w:szCs w:val="22"/>
          <w:u w:val="none"/>
        </w:rPr>
        <w:t>2.</w:t>
      </w:r>
      <w:r w:rsidRPr="005C6946">
        <w:rPr>
          <w:rFonts w:cs="Times New Roman"/>
          <w:color w:val="000000"/>
          <w:szCs w:val="22"/>
          <w:u w:val="none"/>
        </w:rPr>
        <w:tab/>
      </w:r>
      <w:r w:rsidRPr="005C6946">
        <w:rPr>
          <w:rFonts w:cs="Times New Roman"/>
          <w:caps/>
          <w:color w:val="000000"/>
          <w:szCs w:val="22"/>
        </w:rPr>
        <w:t>DÉMISSION DE MADAME SIDONIE AUGERAUX EN QUALITÉ DE CONSEILLÈRE COMMUNALE - INSTALLATION DE MADAME KIMBERLEY GERKENS EN QUALITÉ DE CONSEILLÈRE COMMUNALE - MODIFICATION DU TABLEAU DE PRÉSÉANCE.</w:t>
      </w:r>
    </w:p>
    <w:p w14:paraId="296A01CB"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62D386C9" w14:textId="77777777" w:rsidR="00EC7D63" w:rsidRPr="000378E8" w:rsidRDefault="003E1155">
      <w:pPr>
        <w:pStyle w:val="QHx2pod"/>
        <w:rPr>
          <w:rFonts w:ascii="Times New Roman" w:hAnsi="Times New Roman" w:cs="Times New Roman"/>
          <w:b/>
          <w:bCs/>
          <w:sz w:val="22"/>
          <w:szCs w:val="22"/>
        </w:rPr>
      </w:pPr>
      <w:r w:rsidRPr="000378E8">
        <w:rPr>
          <w:rStyle w:val="QHx1pod"/>
          <w:rFonts w:ascii="Times New Roman" w:hAnsi="Times New Roman" w:cs="Times New Roman"/>
          <w:b w:val="0"/>
          <w:bCs/>
          <w:sz w:val="22"/>
          <w:szCs w:val="22"/>
        </w:rPr>
        <w:t>Démission de Madame Sidonie AUGERAUX</w:t>
      </w:r>
    </w:p>
    <w:p w14:paraId="18E67D37" w14:textId="47F218C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Le Président donne lecture de la lettre en date du 22 août 2025 par laquelle Madame Sidonie AUGERAUX, élue de la liste n°7 déclare renoncer à son mandat de Conseillère communale. </w:t>
      </w:r>
    </w:p>
    <w:p w14:paraId="082E4744" w14:textId="2DAE25A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L'assemblée accepte la démission de Madame Sidonie AUGERAUX en qualité de Conseillère communale, procède à la vérification des pouvoirs de Madame Kimberley GERKENS, sixième conseillère suppléante de la liste n°7. </w:t>
      </w:r>
    </w:p>
    <w:p w14:paraId="5449C692" w14:textId="7F263E86" w:rsidR="000378E8"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Il résulte du rapport dressé par le collège communal que Madame Kimberley GERKENS continue à remplir toutes les conditions d'éligibilité et qu'elle ne se trouve pas dans un des cas d'exclusion ou d'incompatibilité prévus par la loi. </w:t>
      </w:r>
    </w:p>
    <w:p w14:paraId="07DD4D83" w14:textId="2D53B3D2"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Le Conseil valide les pouvoirs de Madame Kimberley GERKENS. </w:t>
      </w:r>
    </w:p>
    <w:p w14:paraId="4FF34752" w14:textId="77777777" w:rsidR="00EC7D63" w:rsidRPr="000378E8" w:rsidRDefault="003E1155">
      <w:pPr>
        <w:pStyle w:val="QHx2pod"/>
        <w:rPr>
          <w:rFonts w:ascii="Times New Roman" w:hAnsi="Times New Roman" w:cs="Times New Roman"/>
          <w:b/>
          <w:bCs/>
          <w:sz w:val="22"/>
          <w:szCs w:val="22"/>
        </w:rPr>
      </w:pPr>
      <w:r w:rsidRPr="000378E8">
        <w:rPr>
          <w:rStyle w:val="QHx1pod"/>
          <w:rFonts w:ascii="Times New Roman" w:hAnsi="Times New Roman" w:cs="Times New Roman"/>
          <w:b w:val="0"/>
          <w:bCs/>
          <w:sz w:val="22"/>
          <w:szCs w:val="22"/>
        </w:rPr>
        <w:t>Prestation de serment et Installation d'une Conseillère communale.</w:t>
      </w:r>
    </w:p>
    <w:p w14:paraId="0B6D2B11" w14:textId="3DB9B12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Le Président invite Madame Kimberley GERKENS dont les pouvoirs ont été validés, à prêter serment entre ses mains, en séance publique le serment prévu par l'article L1126-1 du CDLD : </w:t>
      </w:r>
    </w:p>
    <w:p w14:paraId="58742A5E" w14:textId="7939A69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w:t>
      </w:r>
      <w:r w:rsidRPr="005C6946">
        <w:rPr>
          <w:rStyle w:val="QHx3pod"/>
          <w:rFonts w:ascii="Times New Roman" w:hAnsi="Times New Roman" w:cs="Times New Roman"/>
          <w:sz w:val="22"/>
          <w:szCs w:val="22"/>
        </w:rPr>
        <w:t>Je jure Fidélité au Roi, obéissance à la constitution et aux lois du Peuple belge"</w:t>
      </w:r>
      <w:r w:rsidRPr="005C6946">
        <w:rPr>
          <w:rFonts w:ascii="Times New Roman" w:hAnsi="Times New Roman" w:cs="Times New Roman"/>
          <w:sz w:val="22"/>
          <w:szCs w:val="22"/>
        </w:rPr>
        <w:t> </w:t>
      </w:r>
    </w:p>
    <w:p w14:paraId="7F8FC9DF" w14:textId="33B80DAD"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Madame Kimberley GERKENS prête serment et Monsieur le Président le déclare installé dans ses fonctions. </w:t>
      </w:r>
    </w:p>
    <w:p w14:paraId="4A40729D" w14:textId="77777777" w:rsidR="00EC7D63" w:rsidRPr="000378E8" w:rsidRDefault="003E1155">
      <w:pPr>
        <w:pStyle w:val="QHx2pod"/>
        <w:rPr>
          <w:rFonts w:ascii="Times New Roman" w:hAnsi="Times New Roman" w:cs="Times New Roman"/>
          <w:b/>
          <w:bCs/>
          <w:sz w:val="22"/>
          <w:szCs w:val="22"/>
        </w:rPr>
      </w:pPr>
      <w:r w:rsidRPr="000378E8">
        <w:rPr>
          <w:rStyle w:val="QHx1pod"/>
          <w:rFonts w:ascii="Times New Roman" w:hAnsi="Times New Roman" w:cs="Times New Roman"/>
          <w:b w:val="0"/>
          <w:bCs/>
          <w:sz w:val="22"/>
          <w:szCs w:val="22"/>
        </w:rPr>
        <w:t>Tableau de préséance des Conseillers communaux - Modification</w:t>
      </w:r>
    </w:p>
    <w:p w14:paraId="4A1E5F6E" w14:textId="36F1693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Conformément à l'article L1122-18 du CDLD, le Conseil communal modifie et arrête comme suit le tableau de préséance des Conseillers communaux : </w:t>
      </w:r>
    </w:p>
    <w:p w14:paraId="0A3FD50F" w14:textId="77777777" w:rsidR="00EC7D63" w:rsidRPr="000378E8" w:rsidRDefault="003E1155">
      <w:pPr>
        <w:rPr>
          <w:rFonts w:ascii="Times New Roman" w:hAnsi="Times New Roman" w:cs="Times New Roman"/>
          <w:bCs/>
          <w:sz w:val="22"/>
          <w:szCs w:val="22"/>
        </w:rPr>
      </w:pPr>
      <w:r w:rsidRPr="000378E8">
        <w:rPr>
          <w:rStyle w:val="QHx4pod"/>
          <w:rFonts w:ascii="Times New Roman" w:hAnsi="Times New Roman" w:cs="Times New Roman"/>
          <w:b w:val="0"/>
          <w:bCs/>
          <w:sz w:val="22"/>
          <w:szCs w:val="22"/>
        </w:rPr>
        <w:t>Le tableau de préséance des membres du conseil communal :</w:t>
      </w:r>
    </w:p>
    <w:tbl>
      <w:tblPr>
        <w:tblW w:w="5000" w:type="pct"/>
        <w:tblLayout w:type="fixed"/>
        <w:tblCellMar>
          <w:left w:w="0" w:type="dxa"/>
          <w:right w:w="0" w:type="dxa"/>
        </w:tblCellMar>
        <w:tblLook w:val="04A0" w:firstRow="1" w:lastRow="0" w:firstColumn="1" w:lastColumn="0" w:noHBand="0" w:noVBand="1"/>
      </w:tblPr>
      <w:tblGrid>
        <w:gridCol w:w="2565"/>
        <w:gridCol w:w="2391"/>
        <w:gridCol w:w="1811"/>
        <w:gridCol w:w="1100"/>
        <w:gridCol w:w="1217"/>
        <w:gridCol w:w="1116"/>
      </w:tblGrid>
      <w:tr w:rsidR="00EC7D63" w:rsidRPr="000378E8" w14:paraId="77847311"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4DDD489C" w14:textId="77777777" w:rsidR="00EC7D63" w:rsidRPr="000378E8" w:rsidRDefault="003E1155">
            <w:pPr>
              <w:pStyle w:val="Tablecell"/>
              <w:rPr>
                <w:rFonts w:ascii="Times New Roman" w:hAnsi="Times New Roman" w:cs="Times New Roman"/>
                <w:bCs/>
                <w:sz w:val="22"/>
                <w:szCs w:val="22"/>
              </w:rPr>
            </w:pPr>
            <w:r w:rsidRPr="000378E8">
              <w:rPr>
                <w:rStyle w:val="QHx6pod"/>
                <w:rFonts w:ascii="Times New Roman" w:hAnsi="Times New Roman" w:cs="Times New Roman"/>
                <w:b w:val="0"/>
                <w:bCs/>
                <w:sz w:val="22"/>
                <w:szCs w:val="22"/>
              </w:rPr>
              <w:t>Noms et prénoms des membres du conseil</w:t>
            </w:r>
          </w:p>
        </w:tc>
        <w:tc>
          <w:tcPr>
            <w:tcW w:w="2392" w:type="dxa"/>
            <w:tcBorders>
              <w:top w:val="single" w:sz="2" w:space="0" w:color="000000"/>
              <w:left w:val="single" w:sz="2" w:space="0" w:color="000000"/>
              <w:bottom w:val="single" w:sz="2" w:space="0" w:color="000000"/>
              <w:right w:val="single" w:sz="2" w:space="0" w:color="000000"/>
            </w:tcBorders>
            <w:vAlign w:val="center"/>
          </w:tcPr>
          <w:p w14:paraId="3D37704C" w14:textId="77777777" w:rsidR="00EC7D63" w:rsidRPr="000378E8" w:rsidRDefault="003E1155">
            <w:pPr>
              <w:pStyle w:val="Tablecell"/>
              <w:rPr>
                <w:rFonts w:ascii="Times New Roman" w:hAnsi="Times New Roman" w:cs="Times New Roman"/>
                <w:bCs/>
                <w:sz w:val="22"/>
                <w:szCs w:val="22"/>
              </w:rPr>
            </w:pPr>
            <w:r w:rsidRPr="000378E8">
              <w:rPr>
                <w:rStyle w:val="QHx6pod"/>
                <w:rFonts w:ascii="Times New Roman" w:hAnsi="Times New Roman" w:cs="Times New Roman"/>
                <w:b w:val="0"/>
                <w:bCs/>
                <w:sz w:val="22"/>
                <w:szCs w:val="22"/>
              </w:rPr>
              <w:t>Date de la 1ère entrée en fonction</w:t>
            </w:r>
          </w:p>
        </w:tc>
        <w:tc>
          <w:tcPr>
            <w:tcW w:w="1812" w:type="dxa"/>
            <w:tcBorders>
              <w:top w:val="single" w:sz="2" w:space="0" w:color="000000"/>
              <w:left w:val="single" w:sz="2" w:space="0" w:color="000000"/>
              <w:bottom w:val="single" w:sz="2" w:space="0" w:color="000000"/>
              <w:right w:val="single" w:sz="2" w:space="0" w:color="000000"/>
            </w:tcBorders>
            <w:vAlign w:val="center"/>
          </w:tcPr>
          <w:p w14:paraId="12DBF578" w14:textId="77777777" w:rsidR="00EC7D63" w:rsidRPr="000378E8" w:rsidRDefault="003E1155">
            <w:pPr>
              <w:pStyle w:val="Tablecell"/>
              <w:rPr>
                <w:rFonts w:ascii="Times New Roman" w:hAnsi="Times New Roman" w:cs="Times New Roman"/>
                <w:bCs/>
                <w:sz w:val="22"/>
                <w:szCs w:val="22"/>
              </w:rPr>
            </w:pPr>
            <w:r w:rsidRPr="000378E8">
              <w:rPr>
                <w:rStyle w:val="QHx6pod"/>
                <w:rFonts w:ascii="Times New Roman" w:hAnsi="Times New Roman" w:cs="Times New Roman"/>
                <w:b w:val="0"/>
                <w:bCs/>
                <w:sz w:val="22"/>
                <w:szCs w:val="22"/>
              </w:rPr>
              <w:t>En cas de parité d'ancienneté : suffrages obtenus aux élections du 13 octobre 2024</w:t>
            </w:r>
          </w:p>
        </w:tc>
        <w:tc>
          <w:tcPr>
            <w:tcW w:w="1101" w:type="dxa"/>
            <w:tcBorders>
              <w:top w:val="single" w:sz="2" w:space="0" w:color="000000"/>
              <w:left w:val="single" w:sz="2" w:space="0" w:color="000000"/>
              <w:bottom w:val="single" w:sz="2" w:space="0" w:color="000000"/>
              <w:right w:val="single" w:sz="2" w:space="0" w:color="000000"/>
            </w:tcBorders>
            <w:vAlign w:val="center"/>
          </w:tcPr>
          <w:p w14:paraId="1B64B89D" w14:textId="77777777" w:rsidR="00EC7D63" w:rsidRPr="000378E8" w:rsidRDefault="003E1155">
            <w:pPr>
              <w:pStyle w:val="Tablecell"/>
              <w:rPr>
                <w:rFonts w:ascii="Times New Roman" w:hAnsi="Times New Roman" w:cs="Times New Roman"/>
                <w:bCs/>
                <w:sz w:val="22"/>
                <w:szCs w:val="22"/>
              </w:rPr>
            </w:pPr>
            <w:r w:rsidRPr="000378E8">
              <w:rPr>
                <w:rStyle w:val="QHx6pod"/>
                <w:rFonts w:ascii="Times New Roman" w:hAnsi="Times New Roman" w:cs="Times New Roman"/>
                <w:b w:val="0"/>
                <w:bCs/>
                <w:sz w:val="22"/>
                <w:szCs w:val="22"/>
              </w:rPr>
              <w:t>Rang dans la liste</w:t>
            </w:r>
          </w:p>
        </w:tc>
        <w:tc>
          <w:tcPr>
            <w:tcW w:w="1218" w:type="dxa"/>
            <w:tcBorders>
              <w:top w:val="single" w:sz="2" w:space="0" w:color="000000"/>
              <w:left w:val="single" w:sz="2" w:space="0" w:color="000000"/>
              <w:bottom w:val="single" w:sz="2" w:space="0" w:color="000000"/>
              <w:right w:val="single" w:sz="2" w:space="0" w:color="000000"/>
            </w:tcBorders>
            <w:vAlign w:val="center"/>
          </w:tcPr>
          <w:p w14:paraId="020B2579" w14:textId="77777777" w:rsidR="00EC7D63" w:rsidRPr="000378E8" w:rsidRDefault="003E1155">
            <w:pPr>
              <w:pStyle w:val="Tablecell"/>
              <w:rPr>
                <w:rFonts w:ascii="Times New Roman" w:hAnsi="Times New Roman" w:cs="Times New Roman"/>
                <w:bCs/>
                <w:sz w:val="22"/>
                <w:szCs w:val="22"/>
              </w:rPr>
            </w:pPr>
            <w:r w:rsidRPr="000378E8">
              <w:rPr>
                <w:rStyle w:val="QHx6pod"/>
                <w:rFonts w:ascii="Times New Roman" w:hAnsi="Times New Roman" w:cs="Times New Roman"/>
                <w:b w:val="0"/>
                <w:bCs/>
                <w:sz w:val="22"/>
                <w:szCs w:val="22"/>
              </w:rPr>
              <w:t>Date de naissance</w:t>
            </w:r>
          </w:p>
        </w:tc>
        <w:tc>
          <w:tcPr>
            <w:tcW w:w="1117" w:type="dxa"/>
            <w:tcBorders>
              <w:top w:val="single" w:sz="2" w:space="0" w:color="000000"/>
              <w:left w:val="single" w:sz="2" w:space="0" w:color="000000"/>
              <w:bottom w:val="single" w:sz="2" w:space="0" w:color="000000"/>
              <w:right w:val="single" w:sz="2" w:space="0" w:color="000000"/>
            </w:tcBorders>
            <w:vAlign w:val="center"/>
          </w:tcPr>
          <w:p w14:paraId="00A93C8C" w14:textId="77777777" w:rsidR="00EC7D63" w:rsidRPr="000378E8" w:rsidRDefault="003E1155">
            <w:pPr>
              <w:pStyle w:val="Tablecell"/>
              <w:rPr>
                <w:rFonts w:ascii="Times New Roman" w:hAnsi="Times New Roman" w:cs="Times New Roman"/>
                <w:bCs/>
                <w:sz w:val="22"/>
                <w:szCs w:val="22"/>
              </w:rPr>
            </w:pPr>
            <w:r w:rsidRPr="000378E8">
              <w:rPr>
                <w:rStyle w:val="QHx6pod"/>
                <w:rFonts w:ascii="Times New Roman" w:hAnsi="Times New Roman" w:cs="Times New Roman"/>
                <w:b w:val="0"/>
                <w:bCs/>
                <w:sz w:val="22"/>
                <w:szCs w:val="22"/>
              </w:rPr>
              <w:t>Ordre de préséance</w:t>
            </w:r>
          </w:p>
        </w:tc>
      </w:tr>
      <w:tr w:rsidR="00EC7D63" w:rsidRPr="005C6946" w14:paraId="6FCAED6E"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2F3F4A75"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LHOEST Luc</w:t>
            </w:r>
          </w:p>
        </w:tc>
        <w:tc>
          <w:tcPr>
            <w:tcW w:w="2392" w:type="dxa"/>
            <w:tcBorders>
              <w:top w:val="single" w:sz="2" w:space="0" w:color="000000"/>
              <w:left w:val="single" w:sz="2" w:space="0" w:color="000000"/>
              <w:bottom w:val="single" w:sz="2" w:space="0" w:color="000000"/>
              <w:right w:val="single" w:sz="2" w:space="0" w:color="000000"/>
            </w:tcBorders>
            <w:vAlign w:val="center"/>
          </w:tcPr>
          <w:p w14:paraId="2A1837E8"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03.12.2012</w:t>
            </w:r>
          </w:p>
        </w:tc>
        <w:tc>
          <w:tcPr>
            <w:tcW w:w="1812" w:type="dxa"/>
            <w:tcBorders>
              <w:top w:val="single" w:sz="2" w:space="0" w:color="000000"/>
              <w:left w:val="single" w:sz="2" w:space="0" w:color="000000"/>
              <w:bottom w:val="single" w:sz="2" w:space="0" w:color="000000"/>
              <w:right w:val="single" w:sz="2" w:space="0" w:color="000000"/>
            </w:tcBorders>
            <w:vAlign w:val="center"/>
          </w:tcPr>
          <w:p w14:paraId="7E258B1B"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578</w:t>
            </w:r>
          </w:p>
        </w:tc>
        <w:tc>
          <w:tcPr>
            <w:tcW w:w="1101" w:type="dxa"/>
            <w:tcBorders>
              <w:top w:val="single" w:sz="2" w:space="0" w:color="000000"/>
              <w:left w:val="single" w:sz="2" w:space="0" w:color="000000"/>
              <w:bottom w:val="single" w:sz="2" w:space="0" w:color="000000"/>
              <w:right w:val="single" w:sz="2" w:space="0" w:color="000000"/>
            </w:tcBorders>
            <w:vAlign w:val="center"/>
          </w:tcPr>
          <w:p w14:paraId="0156841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w:t>
            </w:r>
          </w:p>
        </w:tc>
        <w:tc>
          <w:tcPr>
            <w:tcW w:w="1218" w:type="dxa"/>
            <w:tcBorders>
              <w:top w:val="single" w:sz="2" w:space="0" w:color="000000"/>
              <w:left w:val="single" w:sz="2" w:space="0" w:color="000000"/>
              <w:bottom w:val="single" w:sz="2" w:space="0" w:color="000000"/>
              <w:right w:val="single" w:sz="2" w:space="0" w:color="000000"/>
            </w:tcBorders>
            <w:vAlign w:val="center"/>
          </w:tcPr>
          <w:p w14:paraId="6F174FBB"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14.12.1962</w:t>
            </w:r>
          </w:p>
        </w:tc>
        <w:tc>
          <w:tcPr>
            <w:tcW w:w="1117" w:type="dxa"/>
            <w:tcBorders>
              <w:top w:val="single" w:sz="2" w:space="0" w:color="000000"/>
              <w:left w:val="single" w:sz="2" w:space="0" w:color="000000"/>
              <w:bottom w:val="single" w:sz="2" w:space="0" w:color="000000"/>
              <w:right w:val="single" w:sz="2" w:space="0" w:color="000000"/>
            </w:tcBorders>
            <w:vAlign w:val="center"/>
          </w:tcPr>
          <w:p w14:paraId="6C5ABB28"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w:t>
            </w:r>
          </w:p>
        </w:tc>
      </w:tr>
      <w:tr w:rsidR="00EC7D63" w:rsidRPr="005C6946" w14:paraId="362F0132"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5703978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PENDEVILLE Hélène</w:t>
            </w:r>
          </w:p>
        </w:tc>
        <w:tc>
          <w:tcPr>
            <w:tcW w:w="2392" w:type="dxa"/>
            <w:tcBorders>
              <w:top w:val="single" w:sz="2" w:space="0" w:color="000000"/>
              <w:left w:val="single" w:sz="2" w:space="0" w:color="000000"/>
              <w:bottom w:val="single" w:sz="2" w:space="0" w:color="000000"/>
              <w:right w:val="single" w:sz="2" w:space="0" w:color="000000"/>
            </w:tcBorders>
            <w:vAlign w:val="center"/>
          </w:tcPr>
          <w:p w14:paraId="3FDA39DE"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03.12.2012</w:t>
            </w:r>
          </w:p>
        </w:tc>
        <w:tc>
          <w:tcPr>
            <w:tcW w:w="1812" w:type="dxa"/>
            <w:tcBorders>
              <w:top w:val="single" w:sz="2" w:space="0" w:color="000000"/>
              <w:left w:val="single" w:sz="2" w:space="0" w:color="000000"/>
              <w:bottom w:val="single" w:sz="2" w:space="0" w:color="000000"/>
              <w:right w:val="single" w:sz="2" w:space="0" w:color="000000"/>
            </w:tcBorders>
            <w:vAlign w:val="center"/>
          </w:tcPr>
          <w:p w14:paraId="31EAC939"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508</w:t>
            </w:r>
          </w:p>
        </w:tc>
        <w:tc>
          <w:tcPr>
            <w:tcW w:w="1101" w:type="dxa"/>
            <w:tcBorders>
              <w:top w:val="single" w:sz="2" w:space="0" w:color="000000"/>
              <w:left w:val="single" w:sz="2" w:space="0" w:color="000000"/>
              <w:bottom w:val="single" w:sz="2" w:space="0" w:color="000000"/>
              <w:right w:val="single" w:sz="2" w:space="0" w:color="000000"/>
            </w:tcBorders>
            <w:vAlign w:val="center"/>
          </w:tcPr>
          <w:p w14:paraId="173665CD"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w:t>
            </w:r>
          </w:p>
        </w:tc>
        <w:tc>
          <w:tcPr>
            <w:tcW w:w="1218" w:type="dxa"/>
            <w:tcBorders>
              <w:top w:val="single" w:sz="2" w:space="0" w:color="000000"/>
              <w:left w:val="single" w:sz="2" w:space="0" w:color="000000"/>
              <w:bottom w:val="single" w:sz="2" w:space="0" w:color="000000"/>
              <w:right w:val="single" w:sz="2" w:space="0" w:color="000000"/>
            </w:tcBorders>
            <w:vAlign w:val="center"/>
          </w:tcPr>
          <w:p w14:paraId="1CEC3800"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24.10.1971</w:t>
            </w:r>
          </w:p>
        </w:tc>
        <w:tc>
          <w:tcPr>
            <w:tcW w:w="1117" w:type="dxa"/>
            <w:tcBorders>
              <w:top w:val="single" w:sz="2" w:space="0" w:color="000000"/>
              <w:left w:val="single" w:sz="2" w:space="0" w:color="000000"/>
              <w:bottom w:val="single" w:sz="2" w:space="0" w:color="000000"/>
              <w:right w:val="single" w:sz="2" w:space="0" w:color="000000"/>
            </w:tcBorders>
            <w:vAlign w:val="center"/>
          </w:tcPr>
          <w:p w14:paraId="2D2D1944"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w:t>
            </w:r>
          </w:p>
        </w:tc>
      </w:tr>
      <w:tr w:rsidR="00EC7D63" w:rsidRPr="005C6946" w14:paraId="2442A358"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444DBD8C"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ANDRIES Nicolas</w:t>
            </w:r>
          </w:p>
        </w:tc>
        <w:tc>
          <w:tcPr>
            <w:tcW w:w="2392" w:type="dxa"/>
            <w:tcBorders>
              <w:top w:val="single" w:sz="2" w:space="0" w:color="000000"/>
              <w:left w:val="single" w:sz="2" w:space="0" w:color="000000"/>
              <w:bottom w:val="single" w:sz="2" w:space="0" w:color="000000"/>
              <w:right w:val="single" w:sz="2" w:space="0" w:color="000000"/>
            </w:tcBorders>
            <w:vAlign w:val="center"/>
          </w:tcPr>
          <w:p w14:paraId="756D6A4A"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03.12.2018</w:t>
            </w:r>
          </w:p>
        </w:tc>
        <w:tc>
          <w:tcPr>
            <w:tcW w:w="1812" w:type="dxa"/>
            <w:tcBorders>
              <w:top w:val="single" w:sz="2" w:space="0" w:color="000000"/>
              <w:left w:val="single" w:sz="2" w:space="0" w:color="000000"/>
              <w:bottom w:val="single" w:sz="2" w:space="0" w:color="000000"/>
              <w:right w:val="single" w:sz="2" w:space="0" w:color="000000"/>
            </w:tcBorders>
            <w:vAlign w:val="center"/>
          </w:tcPr>
          <w:p w14:paraId="01938F33"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358</w:t>
            </w:r>
          </w:p>
        </w:tc>
        <w:tc>
          <w:tcPr>
            <w:tcW w:w="1101" w:type="dxa"/>
            <w:tcBorders>
              <w:top w:val="single" w:sz="2" w:space="0" w:color="000000"/>
              <w:left w:val="single" w:sz="2" w:space="0" w:color="000000"/>
              <w:bottom w:val="single" w:sz="2" w:space="0" w:color="000000"/>
              <w:right w:val="single" w:sz="2" w:space="0" w:color="000000"/>
            </w:tcBorders>
            <w:vAlign w:val="center"/>
          </w:tcPr>
          <w:p w14:paraId="14E943D0"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w:t>
            </w:r>
          </w:p>
        </w:tc>
        <w:tc>
          <w:tcPr>
            <w:tcW w:w="1218" w:type="dxa"/>
            <w:tcBorders>
              <w:top w:val="single" w:sz="2" w:space="0" w:color="000000"/>
              <w:left w:val="single" w:sz="2" w:space="0" w:color="000000"/>
              <w:bottom w:val="single" w:sz="2" w:space="0" w:color="000000"/>
              <w:right w:val="single" w:sz="2" w:space="0" w:color="000000"/>
            </w:tcBorders>
            <w:vAlign w:val="center"/>
          </w:tcPr>
          <w:p w14:paraId="53DB4373"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21.02.1991</w:t>
            </w:r>
          </w:p>
        </w:tc>
        <w:tc>
          <w:tcPr>
            <w:tcW w:w="1117" w:type="dxa"/>
            <w:tcBorders>
              <w:top w:val="single" w:sz="2" w:space="0" w:color="000000"/>
              <w:left w:val="single" w:sz="2" w:space="0" w:color="000000"/>
              <w:bottom w:val="single" w:sz="2" w:space="0" w:color="000000"/>
              <w:right w:val="single" w:sz="2" w:space="0" w:color="000000"/>
            </w:tcBorders>
            <w:vAlign w:val="center"/>
          </w:tcPr>
          <w:p w14:paraId="1DB783A9"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3</w:t>
            </w:r>
          </w:p>
        </w:tc>
      </w:tr>
      <w:tr w:rsidR="00EC7D63" w:rsidRPr="005C6946" w14:paraId="701A2107"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2B811C3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SEUTIN René</w:t>
            </w:r>
          </w:p>
        </w:tc>
        <w:tc>
          <w:tcPr>
            <w:tcW w:w="2392" w:type="dxa"/>
            <w:tcBorders>
              <w:top w:val="single" w:sz="2" w:space="0" w:color="000000"/>
              <w:left w:val="single" w:sz="2" w:space="0" w:color="000000"/>
              <w:bottom w:val="single" w:sz="2" w:space="0" w:color="000000"/>
              <w:right w:val="single" w:sz="2" w:space="0" w:color="000000"/>
            </w:tcBorders>
            <w:vAlign w:val="center"/>
          </w:tcPr>
          <w:p w14:paraId="132555FC"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1A6067C3"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294</w:t>
            </w:r>
          </w:p>
        </w:tc>
        <w:tc>
          <w:tcPr>
            <w:tcW w:w="1101" w:type="dxa"/>
            <w:tcBorders>
              <w:top w:val="single" w:sz="2" w:space="0" w:color="000000"/>
              <w:left w:val="single" w:sz="2" w:space="0" w:color="000000"/>
              <w:bottom w:val="single" w:sz="2" w:space="0" w:color="000000"/>
              <w:right w:val="single" w:sz="2" w:space="0" w:color="000000"/>
            </w:tcBorders>
            <w:vAlign w:val="center"/>
          </w:tcPr>
          <w:p w14:paraId="7F7954B1"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4</w:t>
            </w:r>
          </w:p>
        </w:tc>
        <w:tc>
          <w:tcPr>
            <w:tcW w:w="1218" w:type="dxa"/>
            <w:tcBorders>
              <w:top w:val="single" w:sz="2" w:space="0" w:color="000000"/>
              <w:left w:val="single" w:sz="2" w:space="0" w:color="000000"/>
              <w:bottom w:val="single" w:sz="2" w:space="0" w:color="000000"/>
              <w:right w:val="single" w:sz="2" w:space="0" w:color="000000"/>
            </w:tcBorders>
            <w:vAlign w:val="center"/>
          </w:tcPr>
          <w:p w14:paraId="6CB2F49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13.01.1959</w:t>
            </w:r>
          </w:p>
        </w:tc>
        <w:tc>
          <w:tcPr>
            <w:tcW w:w="1117" w:type="dxa"/>
            <w:tcBorders>
              <w:top w:val="single" w:sz="2" w:space="0" w:color="000000"/>
              <w:left w:val="single" w:sz="2" w:space="0" w:color="000000"/>
              <w:bottom w:val="single" w:sz="2" w:space="0" w:color="000000"/>
              <w:right w:val="single" w:sz="2" w:space="0" w:color="000000"/>
            </w:tcBorders>
            <w:vAlign w:val="center"/>
          </w:tcPr>
          <w:p w14:paraId="285F6E60"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4</w:t>
            </w:r>
          </w:p>
        </w:tc>
      </w:tr>
      <w:tr w:rsidR="00EC7D63" w:rsidRPr="005C6946" w14:paraId="312E8BC9"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357206AD"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PIRON Michel</w:t>
            </w:r>
          </w:p>
        </w:tc>
        <w:tc>
          <w:tcPr>
            <w:tcW w:w="2392" w:type="dxa"/>
            <w:tcBorders>
              <w:top w:val="single" w:sz="2" w:space="0" w:color="000000"/>
              <w:left w:val="single" w:sz="2" w:space="0" w:color="000000"/>
              <w:bottom w:val="single" w:sz="2" w:space="0" w:color="000000"/>
              <w:right w:val="single" w:sz="2" w:space="0" w:color="000000"/>
            </w:tcBorders>
            <w:vAlign w:val="center"/>
          </w:tcPr>
          <w:p w14:paraId="7276DB82"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54D00110"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249</w:t>
            </w:r>
          </w:p>
        </w:tc>
        <w:tc>
          <w:tcPr>
            <w:tcW w:w="1101" w:type="dxa"/>
            <w:tcBorders>
              <w:top w:val="single" w:sz="2" w:space="0" w:color="000000"/>
              <w:left w:val="single" w:sz="2" w:space="0" w:color="000000"/>
              <w:bottom w:val="single" w:sz="2" w:space="0" w:color="000000"/>
              <w:right w:val="single" w:sz="2" w:space="0" w:color="000000"/>
            </w:tcBorders>
            <w:vAlign w:val="center"/>
          </w:tcPr>
          <w:p w14:paraId="4AC59FF3"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3</w:t>
            </w:r>
          </w:p>
        </w:tc>
        <w:tc>
          <w:tcPr>
            <w:tcW w:w="1218" w:type="dxa"/>
            <w:tcBorders>
              <w:top w:val="single" w:sz="2" w:space="0" w:color="000000"/>
              <w:left w:val="single" w:sz="2" w:space="0" w:color="000000"/>
              <w:bottom w:val="single" w:sz="2" w:space="0" w:color="000000"/>
              <w:right w:val="single" w:sz="2" w:space="0" w:color="000000"/>
            </w:tcBorders>
            <w:vAlign w:val="center"/>
          </w:tcPr>
          <w:p w14:paraId="1A95FEA7"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05.05.1967</w:t>
            </w:r>
          </w:p>
        </w:tc>
        <w:tc>
          <w:tcPr>
            <w:tcW w:w="1117" w:type="dxa"/>
            <w:tcBorders>
              <w:top w:val="single" w:sz="2" w:space="0" w:color="000000"/>
              <w:left w:val="single" w:sz="2" w:space="0" w:color="000000"/>
              <w:bottom w:val="single" w:sz="2" w:space="0" w:color="000000"/>
              <w:right w:val="single" w:sz="2" w:space="0" w:color="000000"/>
            </w:tcBorders>
            <w:vAlign w:val="center"/>
          </w:tcPr>
          <w:p w14:paraId="07570A30"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5</w:t>
            </w:r>
          </w:p>
        </w:tc>
      </w:tr>
      <w:tr w:rsidR="00EC7D63" w:rsidRPr="005C6946" w14:paraId="3C613C79"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61B56846"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DELHALLE Emeline</w:t>
            </w:r>
          </w:p>
        </w:tc>
        <w:tc>
          <w:tcPr>
            <w:tcW w:w="2392" w:type="dxa"/>
            <w:tcBorders>
              <w:top w:val="single" w:sz="2" w:space="0" w:color="000000"/>
              <w:left w:val="single" w:sz="2" w:space="0" w:color="000000"/>
              <w:bottom w:val="single" w:sz="2" w:space="0" w:color="000000"/>
              <w:right w:val="single" w:sz="2" w:space="0" w:color="000000"/>
            </w:tcBorders>
            <w:vAlign w:val="center"/>
          </w:tcPr>
          <w:p w14:paraId="076E1F7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26BB0B5A"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242</w:t>
            </w:r>
          </w:p>
        </w:tc>
        <w:tc>
          <w:tcPr>
            <w:tcW w:w="1101" w:type="dxa"/>
            <w:tcBorders>
              <w:top w:val="single" w:sz="2" w:space="0" w:color="000000"/>
              <w:left w:val="single" w:sz="2" w:space="0" w:color="000000"/>
              <w:bottom w:val="single" w:sz="2" w:space="0" w:color="000000"/>
              <w:right w:val="single" w:sz="2" w:space="0" w:color="000000"/>
            </w:tcBorders>
            <w:vAlign w:val="center"/>
          </w:tcPr>
          <w:p w14:paraId="70AF48B8"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3</w:t>
            </w:r>
          </w:p>
        </w:tc>
        <w:tc>
          <w:tcPr>
            <w:tcW w:w="1218" w:type="dxa"/>
            <w:tcBorders>
              <w:top w:val="single" w:sz="2" w:space="0" w:color="000000"/>
              <w:left w:val="single" w:sz="2" w:space="0" w:color="000000"/>
              <w:bottom w:val="single" w:sz="2" w:space="0" w:color="000000"/>
              <w:right w:val="single" w:sz="2" w:space="0" w:color="000000"/>
            </w:tcBorders>
            <w:vAlign w:val="center"/>
          </w:tcPr>
          <w:p w14:paraId="0F85B08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21.08.1997</w:t>
            </w:r>
          </w:p>
        </w:tc>
        <w:tc>
          <w:tcPr>
            <w:tcW w:w="1117" w:type="dxa"/>
            <w:tcBorders>
              <w:top w:val="single" w:sz="2" w:space="0" w:color="000000"/>
              <w:left w:val="single" w:sz="2" w:space="0" w:color="000000"/>
              <w:bottom w:val="single" w:sz="2" w:space="0" w:color="000000"/>
              <w:right w:val="single" w:sz="2" w:space="0" w:color="000000"/>
            </w:tcBorders>
            <w:vAlign w:val="center"/>
          </w:tcPr>
          <w:p w14:paraId="16D31F37"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6</w:t>
            </w:r>
          </w:p>
        </w:tc>
      </w:tr>
      <w:tr w:rsidR="00EC7D63" w:rsidRPr="005C6946" w14:paraId="2426DCC7"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7959D056"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lastRenderedPageBreak/>
              <w:t>DEPAS Aline</w:t>
            </w:r>
          </w:p>
        </w:tc>
        <w:tc>
          <w:tcPr>
            <w:tcW w:w="2392" w:type="dxa"/>
            <w:tcBorders>
              <w:top w:val="single" w:sz="2" w:space="0" w:color="000000"/>
              <w:left w:val="single" w:sz="2" w:space="0" w:color="000000"/>
              <w:bottom w:val="single" w:sz="2" w:space="0" w:color="000000"/>
              <w:right w:val="single" w:sz="2" w:space="0" w:color="000000"/>
            </w:tcBorders>
            <w:vAlign w:val="center"/>
          </w:tcPr>
          <w:p w14:paraId="059A600B"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0E632F96"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231</w:t>
            </w:r>
          </w:p>
        </w:tc>
        <w:tc>
          <w:tcPr>
            <w:tcW w:w="1101" w:type="dxa"/>
            <w:tcBorders>
              <w:top w:val="single" w:sz="2" w:space="0" w:color="000000"/>
              <w:left w:val="single" w:sz="2" w:space="0" w:color="000000"/>
              <w:bottom w:val="single" w:sz="2" w:space="0" w:color="000000"/>
              <w:right w:val="single" w:sz="2" w:space="0" w:color="000000"/>
            </w:tcBorders>
            <w:vAlign w:val="center"/>
          </w:tcPr>
          <w:p w14:paraId="0E2539B4"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11</w:t>
            </w:r>
          </w:p>
        </w:tc>
        <w:tc>
          <w:tcPr>
            <w:tcW w:w="1218" w:type="dxa"/>
            <w:tcBorders>
              <w:top w:val="single" w:sz="2" w:space="0" w:color="000000"/>
              <w:left w:val="single" w:sz="2" w:space="0" w:color="000000"/>
              <w:bottom w:val="single" w:sz="2" w:space="0" w:color="000000"/>
              <w:right w:val="single" w:sz="2" w:space="0" w:color="000000"/>
            </w:tcBorders>
            <w:vAlign w:val="center"/>
          </w:tcPr>
          <w:p w14:paraId="4523684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21.04.1997</w:t>
            </w:r>
          </w:p>
        </w:tc>
        <w:tc>
          <w:tcPr>
            <w:tcW w:w="1117" w:type="dxa"/>
            <w:tcBorders>
              <w:top w:val="single" w:sz="2" w:space="0" w:color="000000"/>
              <w:left w:val="single" w:sz="2" w:space="0" w:color="000000"/>
              <w:bottom w:val="single" w:sz="2" w:space="0" w:color="000000"/>
              <w:right w:val="single" w:sz="2" w:space="0" w:color="000000"/>
            </w:tcBorders>
            <w:vAlign w:val="center"/>
          </w:tcPr>
          <w:p w14:paraId="7A658832"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7</w:t>
            </w:r>
          </w:p>
        </w:tc>
      </w:tr>
      <w:tr w:rsidR="00EC7D63" w:rsidRPr="005C6946" w14:paraId="6B7D0584"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01F08674"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PIRARD Rudy</w:t>
            </w:r>
          </w:p>
        </w:tc>
        <w:tc>
          <w:tcPr>
            <w:tcW w:w="2392" w:type="dxa"/>
            <w:tcBorders>
              <w:top w:val="single" w:sz="2" w:space="0" w:color="000000"/>
              <w:left w:val="single" w:sz="2" w:space="0" w:color="000000"/>
              <w:bottom w:val="single" w:sz="2" w:space="0" w:color="000000"/>
              <w:right w:val="single" w:sz="2" w:space="0" w:color="000000"/>
            </w:tcBorders>
            <w:vAlign w:val="center"/>
          </w:tcPr>
          <w:p w14:paraId="0362C08C"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7E817B5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212</w:t>
            </w:r>
          </w:p>
        </w:tc>
        <w:tc>
          <w:tcPr>
            <w:tcW w:w="1101" w:type="dxa"/>
            <w:tcBorders>
              <w:top w:val="single" w:sz="2" w:space="0" w:color="000000"/>
              <w:left w:val="single" w:sz="2" w:space="0" w:color="000000"/>
              <w:bottom w:val="single" w:sz="2" w:space="0" w:color="000000"/>
              <w:right w:val="single" w:sz="2" w:space="0" w:color="000000"/>
            </w:tcBorders>
            <w:vAlign w:val="center"/>
          </w:tcPr>
          <w:p w14:paraId="4866EB68"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6</w:t>
            </w:r>
          </w:p>
        </w:tc>
        <w:tc>
          <w:tcPr>
            <w:tcW w:w="1218" w:type="dxa"/>
            <w:tcBorders>
              <w:top w:val="single" w:sz="2" w:space="0" w:color="000000"/>
              <w:left w:val="single" w:sz="2" w:space="0" w:color="000000"/>
              <w:bottom w:val="single" w:sz="2" w:space="0" w:color="000000"/>
              <w:right w:val="single" w:sz="2" w:space="0" w:color="000000"/>
            </w:tcBorders>
            <w:vAlign w:val="center"/>
          </w:tcPr>
          <w:p w14:paraId="2F61C1BC"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03.02.1977</w:t>
            </w:r>
          </w:p>
        </w:tc>
        <w:tc>
          <w:tcPr>
            <w:tcW w:w="1117" w:type="dxa"/>
            <w:tcBorders>
              <w:top w:val="single" w:sz="2" w:space="0" w:color="000000"/>
              <w:left w:val="single" w:sz="2" w:space="0" w:color="000000"/>
              <w:bottom w:val="single" w:sz="2" w:space="0" w:color="000000"/>
              <w:right w:val="single" w:sz="2" w:space="0" w:color="000000"/>
            </w:tcBorders>
            <w:vAlign w:val="center"/>
          </w:tcPr>
          <w:p w14:paraId="545211AD"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8</w:t>
            </w:r>
          </w:p>
        </w:tc>
      </w:tr>
      <w:tr w:rsidR="00EC7D63" w:rsidRPr="005C6946" w14:paraId="0AF63E8C"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364999D5"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COHEUR Isabelle</w:t>
            </w:r>
          </w:p>
        </w:tc>
        <w:tc>
          <w:tcPr>
            <w:tcW w:w="2392" w:type="dxa"/>
            <w:tcBorders>
              <w:top w:val="single" w:sz="2" w:space="0" w:color="000000"/>
              <w:left w:val="single" w:sz="2" w:space="0" w:color="000000"/>
              <w:bottom w:val="single" w:sz="2" w:space="0" w:color="000000"/>
              <w:right w:val="single" w:sz="2" w:space="0" w:color="000000"/>
            </w:tcBorders>
            <w:vAlign w:val="center"/>
          </w:tcPr>
          <w:p w14:paraId="409F440A"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39020E4C"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211</w:t>
            </w:r>
          </w:p>
        </w:tc>
        <w:tc>
          <w:tcPr>
            <w:tcW w:w="1101" w:type="dxa"/>
            <w:tcBorders>
              <w:top w:val="single" w:sz="2" w:space="0" w:color="000000"/>
              <w:left w:val="single" w:sz="2" w:space="0" w:color="000000"/>
              <w:bottom w:val="single" w:sz="2" w:space="0" w:color="000000"/>
              <w:right w:val="single" w:sz="2" w:space="0" w:color="000000"/>
            </w:tcBorders>
            <w:vAlign w:val="center"/>
          </w:tcPr>
          <w:p w14:paraId="1EEB4B35"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11</w:t>
            </w:r>
          </w:p>
        </w:tc>
        <w:tc>
          <w:tcPr>
            <w:tcW w:w="1218" w:type="dxa"/>
            <w:tcBorders>
              <w:top w:val="single" w:sz="2" w:space="0" w:color="000000"/>
              <w:left w:val="single" w:sz="2" w:space="0" w:color="000000"/>
              <w:bottom w:val="single" w:sz="2" w:space="0" w:color="000000"/>
              <w:right w:val="single" w:sz="2" w:space="0" w:color="000000"/>
            </w:tcBorders>
            <w:vAlign w:val="center"/>
          </w:tcPr>
          <w:p w14:paraId="43B102AD"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26.07.1972</w:t>
            </w:r>
          </w:p>
        </w:tc>
        <w:tc>
          <w:tcPr>
            <w:tcW w:w="1117" w:type="dxa"/>
            <w:tcBorders>
              <w:top w:val="single" w:sz="2" w:space="0" w:color="000000"/>
              <w:left w:val="single" w:sz="2" w:space="0" w:color="000000"/>
              <w:bottom w:val="single" w:sz="2" w:space="0" w:color="000000"/>
              <w:right w:val="single" w:sz="2" w:space="0" w:color="000000"/>
            </w:tcBorders>
            <w:vAlign w:val="center"/>
          </w:tcPr>
          <w:p w14:paraId="78C07931"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9</w:t>
            </w:r>
          </w:p>
        </w:tc>
      </w:tr>
      <w:tr w:rsidR="00EC7D63" w:rsidRPr="005C6946" w14:paraId="4AC2CF95"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23CA2A26"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HEYNE Jean-Marie</w:t>
            </w:r>
          </w:p>
        </w:tc>
        <w:tc>
          <w:tcPr>
            <w:tcW w:w="2392" w:type="dxa"/>
            <w:tcBorders>
              <w:top w:val="single" w:sz="2" w:space="0" w:color="000000"/>
              <w:left w:val="single" w:sz="2" w:space="0" w:color="000000"/>
              <w:bottom w:val="single" w:sz="2" w:space="0" w:color="000000"/>
              <w:right w:val="single" w:sz="2" w:space="0" w:color="000000"/>
            </w:tcBorders>
            <w:vAlign w:val="center"/>
          </w:tcPr>
          <w:p w14:paraId="1DBFAA81"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5CFCE144"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189</w:t>
            </w:r>
          </w:p>
        </w:tc>
        <w:tc>
          <w:tcPr>
            <w:tcW w:w="1101" w:type="dxa"/>
            <w:tcBorders>
              <w:top w:val="single" w:sz="2" w:space="0" w:color="000000"/>
              <w:left w:val="single" w:sz="2" w:space="0" w:color="000000"/>
              <w:bottom w:val="single" w:sz="2" w:space="0" w:color="000000"/>
              <w:right w:val="single" w:sz="2" w:space="0" w:color="000000"/>
            </w:tcBorders>
            <w:vAlign w:val="center"/>
          </w:tcPr>
          <w:p w14:paraId="6C5AD5B4"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17</w:t>
            </w:r>
          </w:p>
        </w:tc>
        <w:tc>
          <w:tcPr>
            <w:tcW w:w="1218" w:type="dxa"/>
            <w:tcBorders>
              <w:top w:val="single" w:sz="2" w:space="0" w:color="000000"/>
              <w:left w:val="single" w:sz="2" w:space="0" w:color="000000"/>
              <w:bottom w:val="single" w:sz="2" w:space="0" w:color="000000"/>
              <w:right w:val="single" w:sz="2" w:space="0" w:color="000000"/>
            </w:tcBorders>
            <w:vAlign w:val="center"/>
          </w:tcPr>
          <w:p w14:paraId="73C538B9"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05.05.1952</w:t>
            </w:r>
          </w:p>
        </w:tc>
        <w:tc>
          <w:tcPr>
            <w:tcW w:w="1117" w:type="dxa"/>
            <w:tcBorders>
              <w:top w:val="single" w:sz="2" w:space="0" w:color="000000"/>
              <w:left w:val="single" w:sz="2" w:space="0" w:color="000000"/>
              <w:bottom w:val="single" w:sz="2" w:space="0" w:color="000000"/>
              <w:right w:val="single" w:sz="2" w:space="0" w:color="000000"/>
            </w:tcBorders>
            <w:vAlign w:val="center"/>
          </w:tcPr>
          <w:p w14:paraId="701E056B"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10</w:t>
            </w:r>
          </w:p>
        </w:tc>
      </w:tr>
      <w:tr w:rsidR="00EC7D63" w:rsidRPr="005C6946" w14:paraId="203A1CE3"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2EA26EC2"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DEPAS Gisèle</w:t>
            </w:r>
          </w:p>
        </w:tc>
        <w:tc>
          <w:tcPr>
            <w:tcW w:w="2392" w:type="dxa"/>
            <w:tcBorders>
              <w:top w:val="single" w:sz="2" w:space="0" w:color="000000"/>
              <w:left w:val="single" w:sz="2" w:space="0" w:color="000000"/>
              <w:bottom w:val="single" w:sz="2" w:space="0" w:color="000000"/>
              <w:right w:val="single" w:sz="2" w:space="0" w:color="000000"/>
            </w:tcBorders>
            <w:vAlign w:val="center"/>
          </w:tcPr>
          <w:p w14:paraId="287FC3F9"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488DE379"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185</w:t>
            </w:r>
          </w:p>
        </w:tc>
        <w:tc>
          <w:tcPr>
            <w:tcW w:w="1101" w:type="dxa"/>
            <w:tcBorders>
              <w:top w:val="single" w:sz="2" w:space="0" w:color="000000"/>
              <w:left w:val="single" w:sz="2" w:space="0" w:color="000000"/>
              <w:bottom w:val="single" w:sz="2" w:space="0" w:color="000000"/>
              <w:right w:val="single" w:sz="2" w:space="0" w:color="000000"/>
            </w:tcBorders>
            <w:vAlign w:val="center"/>
          </w:tcPr>
          <w:p w14:paraId="065C85C2"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3</w:t>
            </w:r>
          </w:p>
        </w:tc>
        <w:tc>
          <w:tcPr>
            <w:tcW w:w="1218" w:type="dxa"/>
            <w:tcBorders>
              <w:top w:val="single" w:sz="2" w:space="0" w:color="000000"/>
              <w:left w:val="single" w:sz="2" w:space="0" w:color="000000"/>
              <w:bottom w:val="single" w:sz="2" w:space="0" w:color="000000"/>
              <w:right w:val="single" w:sz="2" w:space="0" w:color="000000"/>
            </w:tcBorders>
            <w:vAlign w:val="center"/>
          </w:tcPr>
          <w:p w14:paraId="26840D10"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12.07.1961</w:t>
            </w:r>
          </w:p>
        </w:tc>
        <w:tc>
          <w:tcPr>
            <w:tcW w:w="1117" w:type="dxa"/>
            <w:tcBorders>
              <w:top w:val="single" w:sz="2" w:space="0" w:color="000000"/>
              <w:left w:val="single" w:sz="2" w:space="0" w:color="000000"/>
              <w:bottom w:val="single" w:sz="2" w:space="0" w:color="000000"/>
              <w:right w:val="single" w:sz="2" w:space="0" w:color="000000"/>
            </w:tcBorders>
            <w:vAlign w:val="center"/>
          </w:tcPr>
          <w:p w14:paraId="32F5F162"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11</w:t>
            </w:r>
          </w:p>
        </w:tc>
      </w:tr>
      <w:tr w:rsidR="00EC7D63" w:rsidRPr="005C6946" w14:paraId="7B05D26E"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7072F399"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MAQUOI Laurent</w:t>
            </w:r>
          </w:p>
        </w:tc>
        <w:tc>
          <w:tcPr>
            <w:tcW w:w="2392" w:type="dxa"/>
            <w:tcBorders>
              <w:top w:val="single" w:sz="2" w:space="0" w:color="000000"/>
              <w:left w:val="single" w:sz="2" w:space="0" w:color="000000"/>
              <w:bottom w:val="single" w:sz="2" w:space="0" w:color="000000"/>
              <w:right w:val="single" w:sz="2" w:space="0" w:color="000000"/>
            </w:tcBorders>
            <w:vAlign w:val="center"/>
          </w:tcPr>
          <w:p w14:paraId="04F82B33"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3F9DE552"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185</w:t>
            </w:r>
          </w:p>
        </w:tc>
        <w:tc>
          <w:tcPr>
            <w:tcW w:w="1101" w:type="dxa"/>
            <w:tcBorders>
              <w:top w:val="single" w:sz="2" w:space="0" w:color="000000"/>
              <w:left w:val="single" w:sz="2" w:space="0" w:color="000000"/>
              <w:bottom w:val="single" w:sz="2" w:space="0" w:color="000000"/>
              <w:right w:val="single" w:sz="2" w:space="0" w:color="000000"/>
            </w:tcBorders>
            <w:vAlign w:val="center"/>
          </w:tcPr>
          <w:p w14:paraId="2773518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9</w:t>
            </w:r>
          </w:p>
        </w:tc>
        <w:tc>
          <w:tcPr>
            <w:tcW w:w="1218" w:type="dxa"/>
            <w:tcBorders>
              <w:top w:val="single" w:sz="2" w:space="0" w:color="000000"/>
              <w:left w:val="single" w:sz="2" w:space="0" w:color="000000"/>
              <w:bottom w:val="single" w:sz="2" w:space="0" w:color="000000"/>
              <w:right w:val="single" w:sz="2" w:space="0" w:color="000000"/>
            </w:tcBorders>
            <w:vAlign w:val="center"/>
          </w:tcPr>
          <w:p w14:paraId="0E0C9B77"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10.07.1973</w:t>
            </w:r>
          </w:p>
        </w:tc>
        <w:tc>
          <w:tcPr>
            <w:tcW w:w="1117" w:type="dxa"/>
            <w:tcBorders>
              <w:top w:val="single" w:sz="2" w:space="0" w:color="000000"/>
              <w:left w:val="single" w:sz="2" w:space="0" w:color="000000"/>
              <w:bottom w:val="single" w:sz="2" w:space="0" w:color="000000"/>
              <w:right w:val="single" w:sz="2" w:space="0" w:color="000000"/>
            </w:tcBorders>
            <w:vAlign w:val="center"/>
          </w:tcPr>
          <w:p w14:paraId="14B4E6C5"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12</w:t>
            </w:r>
          </w:p>
        </w:tc>
      </w:tr>
      <w:tr w:rsidR="00EC7D63" w:rsidRPr="005C6946" w14:paraId="2471186F"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2966AF03"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de MARNEFFE Véronique</w:t>
            </w:r>
          </w:p>
        </w:tc>
        <w:tc>
          <w:tcPr>
            <w:tcW w:w="2392" w:type="dxa"/>
            <w:tcBorders>
              <w:top w:val="single" w:sz="2" w:space="0" w:color="000000"/>
              <w:left w:val="single" w:sz="2" w:space="0" w:color="000000"/>
              <w:bottom w:val="single" w:sz="2" w:space="0" w:color="000000"/>
              <w:right w:val="single" w:sz="2" w:space="0" w:color="000000"/>
            </w:tcBorders>
            <w:vAlign w:val="center"/>
          </w:tcPr>
          <w:p w14:paraId="6354D30A"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48311560"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181</w:t>
            </w:r>
          </w:p>
        </w:tc>
        <w:tc>
          <w:tcPr>
            <w:tcW w:w="1101" w:type="dxa"/>
            <w:tcBorders>
              <w:top w:val="single" w:sz="2" w:space="0" w:color="000000"/>
              <w:left w:val="single" w:sz="2" w:space="0" w:color="000000"/>
              <w:bottom w:val="single" w:sz="2" w:space="0" w:color="000000"/>
              <w:right w:val="single" w:sz="2" w:space="0" w:color="000000"/>
            </w:tcBorders>
            <w:vAlign w:val="center"/>
          </w:tcPr>
          <w:p w14:paraId="1E0DEF8D"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13</w:t>
            </w:r>
          </w:p>
        </w:tc>
        <w:tc>
          <w:tcPr>
            <w:tcW w:w="1218" w:type="dxa"/>
            <w:tcBorders>
              <w:top w:val="single" w:sz="2" w:space="0" w:color="000000"/>
              <w:left w:val="single" w:sz="2" w:space="0" w:color="000000"/>
              <w:bottom w:val="single" w:sz="2" w:space="0" w:color="000000"/>
              <w:right w:val="single" w:sz="2" w:space="0" w:color="000000"/>
            </w:tcBorders>
            <w:vAlign w:val="center"/>
          </w:tcPr>
          <w:p w14:paraId="17ABA860"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04.08.1962</w:t>
            </w:r>
          </w:p>
        </w:tc>
        <w:tc>
          <w:tcPr>
            <w:tcW w:w="1117" w:type="dxa"/>
            <w:tcBorders>
              <w:top w:val="single" w:sz="2" w:space="0" w:color="000000"/>
              <w:left w:val="single" w:sz="2" w:space="0" w:color="000000"/>
              <w:bottom w:val="single" w:sz="2" w:space="0" w:color="000000"/>
              <w:right w:val="single" w:sz="2" w:space="0" w:color="000000"/>
            </w:tcBorders>
            <w:vAlign w:val="center"/>
          </w:tcPr>
          <w:p w14:paraId="2F672E89"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13</w:t>
            </w:r>
          </w:p>
        </w:tc>
      </w:tr>
      <w:tr w:rsidR="00EC7D63" w:rsidRPr="005C6946" w14:paraId="412CAF5B"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21C32BEC"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HANNON-ZIEGELS Anne-Françoise</w:t>
            </w:r>
          </w:p>
        </w:tc>
        <w:tc>
          <w:tcPr>
            <w:tcW w:w="2392" w:type="dxa"/>
            <w:tcBorders>
              <w:top w:val="single" w:sz="2" w:space="0" w:color="000000"/>
              <w:left w:val="single" w:sz="2" w:space="0" w:color="000000"/>
              <w:bottom w:val="single" w:sz="2" w:space="0" w:color="000000"/>
              <w:right w:val="single" w:sz="2" w:space="0" w:color="000000"/>
            </w:tcBorders>
            <w:vAlign w:val="center"/>
          </w:tcPr>
          <w:p w14:paraId="5778CF28"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50B003E0"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177</w:t>
            </w:r>
          </w:p>
        </w:tc>
        <w:tc>
          <w:tcPr>
            <w:tcW w:w="1101" w:type="dxa"/>
            <w:tcBorders>
              <w:top w:val="single" w:sz="2" w:space="0" w:color="000000"/>
              <w:left w:val="single" w:sz="2" w:space="0" w:color="000000"/>
              <w:bottom w:val="single" w:sz="2" w:space="0" w:color="000000"/>
              <w:right w:val="single" w:sz="2" w:space="0" w:color="000000"/>
            </w:tcBorders>
            <w:vAlign w:val="center"/>
          </w:tcPr>
          <w:p w14:paraId="0B919A1F"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13</w:t>
            </w:r>
          </w:p>
        </w:tc>
        <w:tc>
          <w:tcPr>
            <w:tcW w:w="1218" w:type="dxa"/>
            <w:tcBorders>
              <w:top w:val="single" w:sz="2" w:space="0" w:color="000000"/>
              <w:left w:val="single" w:sz="2" w:space="0" w:color="000000"/>
              <w:bottom w:val="single" w:sz="2" w:space="0" w:color="000000"/>
              <w:right w:val="single" w:sz="2" w:space="0" w:color="000000"/>
            </w:tcBorders>
            <w:vAlign w:val="center"/>
          </w:tcPr>
          <w:p w14:paraId="6BD24065"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13.12.1985</w:t>
            </w:r>
          </w:p>
        </w:tc>
        <w:tc>
          <w:tcPr>
            <w:tcW w:w="1117" w:type="dxa"/>
            <w:tcBorders>
              <w:top w:val="single" w:sz="2" w:space="0" w:color="000000"/>
              <w:left w:val="single" w:sz="2" w:space="0" w:color="000000"/>
              <w:bottom w:val="single" w:sz="2" w:space="0" w:color="000000"/>
              <w:right w:val="single" w:sz="2" w:space="0" w:color="000000"/>
            </w:tcBorders>
            <w:vAlign w:val="center"/>
          </w:tcPr>
          <w:p w14:paraId="7BFD582D"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14</w:t>
            </w:r>
          </w:p>
        </w:tc>
      </w:tr>
      <w:tr w:rsidR="00EC7D63" w:rsidRPr="005C6946" w14:paraId="2FA49183"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6A501D62"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ZELEZNIK Olivier</w:t>
            </w:r>
          </w:p>
        </w:tc>
        <w:tc>
          <w:tcPr>
            <w:tcW w:w="2392" w:type="dxa"/>
            <w:tcBorders>
              <w:top w:val="single" w:sz="2" w:space="0" w:color="000000"/>
              <w:left w:val="single" w:sz="2" w:space="0" w:color="000000"/>
              <w:bottom w:val="single" w:sz="2" w:space="0" w:color="000000"/>
              <w:right w:val="single" w:sz="2" w:space="0" w:color="000000"/>
            </w:tcBorders>
            <w:vAlign w:val="center"/>
          </w:tcPr>
          <w:p w14:paraId="1E8424F3"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4E8A4AC7"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120</w:t>
            </w:r>
          </w:p>
        </w:tc>
        <w:tc>
          <w:tcPr>
            <w:tcW w:w="1101" w:type="dxa"/>
            <w:tcBorders>
              <w:top w:val="single" w:sz="2" w:space="0" w:color="000000"/>
              <w:left w:val="single" w:sz="2" w:space="0" w:color="000000"/>
              <w:bottom w:val="single" w:sz="2" w:space="0" w:color="000000"/>
              <w:right w:val="single" w:sz="2" w:space="0" w:color="000000"/>
            </w:tcBorders>
            <w:vAlign w:val="center"/>
          </w:tcPr>
          <w:p w14:paraId="2A639F98"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6</w:t>
            </w:r>
          </w:p>
        </w:tc>
        <w:tc>
          <w:tcPr>
            <w:tcW w:w="1218" w:type="dxa"/>
            <w:tcBorders>
              <w:top w:val="single" w:sz="2" w:space="0" w:color="000000"/>
              <w:left w:val="single" w:sz="2" w:space="0" w:color="000000"/>
              <w:bottom w:val="single" w:sz="2" w:space="0" w:color="000000"/>
              <w:right w:val="single" w:sz="2" w:space="0" w:color="000000"/>
            </w:tcBorders>
            <w:vAlign w:val="center"/>
          </w:tcPr>
          <w:p w14:paraId="4AEE41E4"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17.08.1976</w:t>
            </w:r>
          </w:p>
        </w:tc>
        <w:tc>
          <w:tcPr>
            <w:tcW w:w="1117" w:type="dxa"/>
            <w:tcBorders>
              <w:top w:val="single" w:sz="2" w:space="0" w:color="000000"/>
              <w:left w:val="single" w:sz="2" w:space="0" w:color="000000"/>
              <w:bottom w:val="single" w:sz="2" w:space="0" w:color="000000"/>
              <w:right w:val="single" w:sz="2" w:space="0" w:color="000000"/>
            </w:tcBorders>
            <w:vAlign w:val="center"/>
          </w:tcPr>
          <w:p w14:paraId="3162A018"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15</w:t>
            </w:r>
          </w:p>
        </w:tc>
      </w:tr>
      <w:tr w:rsidR="00EC7D63" w:rsidRPr="005C6946" w14:paraId="1F4EDF37"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576F0B6E"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LEVOISIN Géraldine</w:t>
            </w:r>
          </w:p>
        </w:tc>
        <w:tc>
          <w:tcPr>
            <w:tcW w:w="2392" w:type="dxa"/>
            <w:tcBorders>
              <w:top w:val="single" w:sz="2" w:space="0" w:color="000000"/>
              <w:left w:val="single" w:sz="2" w:space="0" w:color="000000"/>
              <w:bottom w:val="single" w:sz="2" w:space="0" w:color="000000"/>
              <w:right w:val="single" w:sz="2" w:space="0" w:color="000000"/>
            </w:tcBorders>
            <w:vAlign w:val="center"/>
          </w:tcPr>
          <w:p w14:paraId="5A1667AE"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02.12.2024</w:t>
            </w:r>
          </w:p>
        </w:tc>
        <w:tc>
          <w:tcPr>
            <w:tcW w:w="1812" w:type="dxa"/>
            <w:tcBorders>
              <w:top w:val="single" w:sz="2" w:space="0" w:color="000000"/>
              <w:left w:val="single" w:sz="2" w:space="0" w:color="000000"/>
              <w:bottom w:val="single" w:sz="2" w:space="0" w:color="000000"/>
              <w:right w:val="single" w:sz="2" w:space="0" w:color="000000"/>
            </w:tcBorders>
            <w:vAlign w:val="center"/>
          </w:tcPr>
          <w:p w14:paraId="28946D8E"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108</w:t>
            </w:r>
          </w:p>
        </w:tc>
        <w:tc>
          <w:tcPr>
            <w:tcW w:w="1101" w:type="dxa"/>
            <w:tcBorders>
              <w:top w:val="single" w:sz="2" w:space="0" w:color="000000"/>
              <w:left w:val="single" w:sz="2" w:space="0" w:color="000000"/>
              <w:bottom w:val="single" w:sz="2" w:space="0" w:color="000000"/>
              <w:right w:val="single" w:sz="2" w:space="0" w:color="000000"/>
            </w:tcBorders>
            <w:vAlign w:val="center"/>
          </w:tcPr>
          <w:p w14:paraId="613BB747"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15</w:t>
            </w:r>
          </w:p>
        </w:tc>
        <w:tc>
          <w:tcPr>
            <w:tcW w:w="1218" w:type="dxa"/>
            <w:tcBorders>
              <w:top w:val="single" w:sz="2" w:space="0" w:color="000000"/>
              <w:left w:val="single" w:sz="2" w:space="0" w:color="000000"/>
              <w:bottom w:val="single" w:sz="2" w:space="0" w:color="000000"/>
              <w:right w:val="single" w:sz="2" w:space="0" w:color="000000"/>
            </w:tcBorders>
            <w:vAlign w:val="center"/>
          </w:tcPr>
          <w:p w14:paraId="4AF2FEB3"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10.08.1983</w:t>
            </w:r>
          </w:p>
        </w:tc>
        <w:tc>
          <w:tcPr>
            <w:tcW w:w="1117" w:type="dxa"/>
            <w:tcBorders>
              <w:top w:val="single" w:sz="2" w:space="0" w:color="000000"/>
              <w:left w:val="single" w:sz="2" w:space="0" w:color="000000"/>
              <w:bottom w:val="single" w:sz="2" w:space="0" w:color="000000"/>
              <w:right w:val="single" w:sz="2" w:space="0" w:color="000000"/>
            </w:tcBorders>
            <w:vAlign w:val="center"/>
          </w:tcPr>
          <w:p w14:paraId="6722060C"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16</w:t>
            </w:r>
          </w:p>
        </w:tc>
      </w:tr>
      <w:tr w:rsidR="00EC7D63" w:rsidRPr="005C6946" w14:paraId="1D639E4A"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2FD60731"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GERKENS Kimberley</w:t>
            </w:r>
          </w:p>
        </w:tc>
        <w:tc>
          <w:tcPr>
            <w:tcW w:w="2392" w:type="dxa"/>
            <w:tcBorders>
              <w:top w:val="single" w:sz="2" w:space="0" w:color="000000"/>
              <w:left w:val="single" w:sz="2" w:space="0" w:color="000000"/>
              <w:bottom w:val="single" w:sz="2" w:space="0" w:color="000000"/>
              <w:right w:val="single" w:sz="2" w:space="0" w:color="000000"/>
            </w:tcBorders>
            <w:vAlign w:val="center"/>
          </w:tcPr>
          <w:p w14:paraId="40DE9DD8"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25.09.2025</w:t>
            </w:r>
          </w:p>
        </w:tc>
        <w:tc>
          <w:tcPr>
            <w:tcW w:w="1812" w:type="dxa"/>
            <w:tcBorders>
              <w:top w:val="single" w:sz="2" w:space="0" w:color="000000"/>
              <w:left w:val="single" w:sz="2" w:space="0" w:color="000000"/>
              <w:bottom w:val="single" w:sz="2" w:space="0" w:color="000000"/>
              <w:right w:val="single" w:sz="2" w:space="0" w:color="000000"/>
            </w:tcBorders>
            <w:vAlign w:val="center"/>
          </w:tcPr>
          <w:p w14:paraId="375A4667"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99</w:t>
            </w:r>
          </w:p>
        </w:tc>
        <w:tc>
          <w:tcPr>
            <w:tcW w:w="1101" w:type="dxa"/>
            <w:tcBorders>
              <w:top w:val="single" w:sz="2" w:space="0" w:color="000000"/>
              <w:left w:val="single" w:sz="2" w:space="0" w:color="000000"/>
              <w:bottom w:val="single" w:sz="2" w:space="0" w:color="000000"/>
              <w:right w:val="single" w:sz="2" w:space="0" w:color="000000"/>
            </w:tcBorders>
            <w:vAlign w:val="center"/>
          </w:tcPr>
          <w:p w14:paraId="1D4BBC94"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5</w:t>
            </w:r>
          </w:p>
        </w:tc>
        <w:tc>
          <w:tcPr>
            <w:tcW w:w="1218" w:type="dxa"/>
            <w:tcBorders>
              <w:top w:val="single" w:sz="2" w:space="0" w:color="000000"/>
              <w:left w:val="single" w:sz="2" w:space="0" w:color="000000"/>
              <w:bottom w:val="single" w:sz="2" w:space="0" w:color="000000"/>
              <w:right w:val="single" w:sz="2" w:space="0" w:color="000000"/>
            </w:tcBorders>
            <w:vAlign w:val="center"/>
          </w:tcPr>
          <w:p w14:paraId="7D8E4776"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01.07.1988</w:t>
            </w:r>
          </w:p>
        </w:tc>
        <w:tc>
          <w:tcPr>
            <w:tcW w:w="1117" w:type="dxa"/>
            <w:tcBorders>
              <w:top w:val="single" w:sz="2" w:space="0" w:color="000000"/>
              <w:left w:val="single" w:sz="2" w:space="0" w:color="000000"/>
              <w:bottom w:val="single" w:sz="2" w:space="0" w:color="000000"/>
              <w:right w:val="single" w:sz="2" w:space="0" w:color="000000"/>
            </w:tcBorders>
            <w:vAlign w:val="center"/>
          </w:tcPr>
          <w:p w14:paraId="565887EE" w14:textId="77777777" w:rsidR="00EC7D63" w:rsidRPr="005C6946" w:rsidRDefault="003E1155">
            <w:pPr>
              <w:pStyle w:val="Tablecell"/>
              <w:rPr>
                <w:rFonts w:ascii="Times New Roman" w:hAnsi="Times New Roman" w:cs="Times New Roman"/>
                <w:sz w:val="22"/>
                <w:szCs w:val="22"/>
              </w:rPr>
            </w:pPr>
            <w:r w:rsidRPr="005C6946">
              <w:rPr>
                <w:rFonts w:ascii="Times New Roman" w:hAnsi="Times New Roman" w:cs="Times New Roman"/>
                <w:sz w:val="22"/>
                <w:szCs w:val="22"/>
              </w:rPr>
              <w:t>17</w:t>
            </w:r>
          </w:p>
        </w:tc>
      </w:tr>
    </w:tbl>
    <w:p w14:paraId="7C41A376" w14:textId="77777777" w:rsidR="00EC7D63" w:rsidRPr="000378E8" w:rsidRDefault="003E1155">
      <w:pPr>
        <w:pStyle w:val="QHx2pod"/>
        <w:rPr>
          <w:rFonts w:ascii="Times New Roman" w:hAnsi="Times New Roman" w:cs="Times New Roman"/>
          <w:b/>
          <w:bCs/>
          <w:sz w:val="22"/>
          <w:szCs w:val="22"/>
        </w:rPr>
      </w:pPr>
      <w:r w:rsidRPr="000378E8">
        <w:rPr>
          <w:rStyle w:val="QHx1pod"/>
          <w:rFonts w:ascii="Times New Roman" w:hAnsi="Times New Roman" w:cs="Times New Roman"/>
          <w:b w:val="0"/>
          <w:bCs/>
          <w:sz w:val="22"/>
          <w:szCs w:val="22"/>
        </w:rPr>
        <w:t>Composition Politique du Conseil communal- Déclaration d'apparentement</w:t>
      </w:r>
    </w:p>
    <w:p w14:paraId="230C895D" w14:textId="3E82A6DD" w:rsidR="00EC7D63" w:rsidRDefault="003E1155" w:rsidP="000378E8">
      <w:pPr>
        <w:pStyle w:val="QHx2pod"/>
        <w:rPr>
          <w:rFonts w:ascii="Times New Roman" w:hAnsi="Times New Roman" w:cs="Times New Roman"/>
          <w:sz w:val="22"/>
          <w:szCs w:val="22"/>
        </w:rPr>
      </w:pPr>
      <w:r w:rsidRPr="005C6946">
        <w:rPr>
          <w:rFonts w:ascii="Times New Roman" w:hAnsi="Times New Roman" w:cs="Times New Roman"/>
          <w:sz w:val="22"/>
          <w:szCs w:val="22"/>
        </w:rPr>
        <w:t>Après avoir interrogé Madame Kimberley GERKENS, modifie comme suit la composition politique du Conseil communal : </w:t>
      </w:r>
    </w:p>
    <w:p w14:paraId="2F60FAB0" w14:textId="77777777" w:rsidR="000378E8" w:rsidRPr="005C6946" w:rsidRDefault="000378E8" w:rsidP="000378E8">
      <w:pPr>
        <w:pStyle w:val="QHx2pod"/>
        <w:rPr>
          <w:rFonts w:ascii="Times New Roman" w:hAnsi="Times New Roman" w:cs="Times New Roman"/>
          <w:sz w:val="22"/>
          <w:szCs w:val="22"/>
        </w:rPr>
      </w:pPr>
    </w:p>
    <w:p w14:paraId="32FE70A7" w14:textId="77777777" w:rsidR="00EC7D63" w:rsidRPr="000378E8" w:rsidRDefault="003E1155">
      <w:pPr>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4 Membres déclarent s’apparenter au PS :</w:t>
      </w:r>
    </w:p>
    <w:p w14:paraId="66349586"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Monsieur ANDRIES Nicolas</w:t>
      </w:r>
    </w:p>
    <w:p w14:paraId="0A59343D"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Monsieur PIRON Michel</w:t>
      </w:r>
    </w:p>
    <w:p w14:paraId="1B35B39F"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Monsieur HEYNE Jean-Marie</w:t>
      </w:r>
    </w:p>
    <w:p w14:paraId="76389BB9"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Monsieur MAQUOI Laurent</w:t>
      </w:r>
    </w:p>
    <w:p w14:paraId="74BAF48D"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 </w:t>
      </w:r>
    </w:p>
    <w:p w14:paraId="4344B83D" w14:textId="77777777" w:rsidR="00EC7D63" w:rsidRPr="000378E8" w:rsidRDefault="003E1155">
      <w:pPr>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6 Membres déclarent s’apparenter au MR :</w:t>
      </w:r>
    </w:p>
    <w:p w14:paraId="3E5CCF1B"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Madame PENDEVILLE Hélène</w:t>
      </w:r>
    </w:p>
    <w:p w14:paraId="09821B93"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Monsieur SEUTIN René</w:t>
      </w:r>
    </w:p>
    <w:p w14:paraId="5F6884EE"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Madame DELHALLE Emeline</w:t>
      </w:r>
    </w:p>
    <w:p w14:paraId="47C096F2"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Madame DEPAS Aline</w:t>
      </w:r>
    </w:p>
    <w:p w14:paraId="426B9EC0"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Madame HANNON-ZIEGELS Anne-Françoise</w:t>
      </w:r>
    </w:p>
    <w:p w14:paraId="35B6079D"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Monsieur ZELEZNIK Olivier</w:t>
      </w:r>
    </w:p>
    <w:p w14:paraId="234EE00A" w14:textId="77777777" w:rsidR="00EC7D63" w:rsidRPr="000378E8" w:rsidRDefault="003E1155">
      <w:pPr>
        <w:rPr>
          <w:rFonts w:ascii="Times New Roman" w:hAnsi="Times New Roman" w:cs="Times New Roman"/>
          <w:bCs/>
          <w:sz w:val="22"/>
          <w:szCs w:val="22"/>
        </w:rPr>
      </w:pPr>
      <w:r w:rsidRPr="005C6946">
        <w:rPr>
          <w:rFonts w:ascii="Times New Roman" w:hAnsi="Times New Roman" w:cs="Times New Roman"/>
          <w:sz w:val="22"/>
          <w:szCs w:val="22"/>
        </w:rPr>
        <w:t> </w:t>
      </w:r>
    </w:p>
    <w:p w14:paraId="23F5967B" w14:textId="77777777" w:rsidR="00EC7D63" w:rsidRPr="000378E8" w:rsidRDefault="003E1155">
      <w:pPr>
        <w:rPr>
          <w:rFonts w:ascii="Times New Roman" w:hAnsi="Times New Roman" w:cs="Times New Roman"/>
          <w:bCs/>
          <w:sz w:val="22"/>
          <w:szCs w:val="22"/>
        </w:rPr>
      </w:pPr>
      <w:r w:rsidRPr="000378E8">
        <w:rPr>
          <w:rStyle w:val="QHx4pod"/>
          <w:rFonts w:ascii="Times New Roman" w:hAnsi="Times New Roman" w:cs="Times New Roman"/>
          <w:b w:val="0"/>
          <w:bCs/>
          <w:sz w:val="22"/>
          <w:szCs w:val="22"/>
        </w:rPr>
        <w:t>7 Membres se déclarent INDÉPENDANT (APOLITIQUE) : </w:t>
      </w:r>
    </w:p>
    <w:p w14:paraId="1F9AC507"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Monsieur LHOEST Luc</w:t>
      </w:r>
    </w:p>
    <w:p w14:paraId="0F8556F1"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Madame COHEUR Isabelle</w:t>
      </w:r>
    </w:p>
    <w:p w14:paraId="09651446"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Madame de MARNEFFE Véronique</w:t>
      </w:r>
    </w:p>
    <w:p w14:paraId="05C7882A"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Madame DEPAS Gisèle</w:t>
      </w:r>
    </w:p>
    <w:p w14:paraId="52BF78B7"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Madame LEVOISIN Géraldine</w:t>
      </w:r>
    </w:p>
    <w:p w14:paraId="1686ECEF" w14:textId="77777777"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Monsieur PIRARD Rudy</w:t>
      </w:r>
    </w:p>
    <w:p w14:paraId="3D36BABE" w14:textId="1B465219" w:rsidR="00EC7D63" w:rsidRPr="005C6946" w:rsidRDefault="003E1155" w:rsidP="000378E8">
      <w:pPr>
        <w:rPr>
          <w:rFonts w:ascii="Times New Roman" w:hAnsi="Times New Roman" w:cs="Times New Roman"/>
          <w:color w:val="000000"/>
          <w:sz w:val="22"/>
          <w:szCs w:val="22"/>
        </w:rPr>
      </w:pPr>
      <w:r w:rsidRPr="005C6946">
        <w:rPr>
          <w:rFonts w:ascii="Times New Roman" w:hAnsi="Times New Roman" w:cs="Times New Roman"/>
          <w:sz w:val="22"/>
          <w:szCs w:val="22"/>
        </w:rPr>
        <w:t>Madame GERKENS Kimberley</w:t>
      </w:r>
    </w:p>
    <w:p w14:paraId="77A6DA98"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571CF5AC" w14:textId="77777777" w:rsidR="00EC7D63" w:rsidRPr="005C6946" w:rsidRDefault="003E1155">
      <w:pPr>
        <w:pStyle w:val="Titre2"/>
        <w:tabs>
          <w:tab w:val="left" w:pos="1020"/>
        </w:tabs>
        <w:spacing w:before="0" w:after="113"/>
        <w:ind w:left="510" w:hanging="510"/>
        <w:jc w:val="both"/>
        <w:rPr>
          <w:rFonts w:cs="Times New Roman"/>
          <w:szCs w:val="22"/>
        </w:rPr>
      </w:pPr>
      <w:bookmarkStart w:id="2" w:name="__RefHeading___Toc1768_34993492362"/>
      <w:bookmarkEnd w:id="2"/>
      <w:r w:rsidRPr="005C6946">
        <w:rPr>
          <w:rFonts w:cs="Times New Roman"/>
          <w:color w:val="000000"/>
          <w:szCs w:val="22"/>
          <w:u w:val="none"/>
        </w:rPr>
        <w:t>3.</w:t>
      </w:r>
      <w:r w:rsidRPr="005C6946">
        <w:rPr>
          <w:rFonts w:cs="Times New Roman"/>
          <w:color w:val="000000"/>
          <w:szCs w:val="22"/>
          <w:u w:val="none"/>
        </w:rPr>
        <w:tab/>
      </w:r>
      <w:r w:rsidRPr="005C6946">
        <w:rPr>
          <w:rFonts w:cs="Times New Roman"/>
          <w:caps/>
          <w:color w:val="000000"/>
          <w:szCs w:val="22"/>
        </w:rPr>
        <w:t>TAXE D'ENTRÉE SUR LES INHUMATIONS, DISPERSIONS DES CENDRES ET MISES EN COLUMBARIUM APRÈS CRÉMATION - EXERCICES 2026 À 2030.</w:t>
      </w:r>
    </w:p>
    <w:p w14:paraId="0D09BC73"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19FD3A77" w14:textId="6358D27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Constitution, les articles 41, 162 et 170 § 4 ; </w:t>
      </w:r>
    </w:p>
    <w:p w14:paraId="2069F40A" w14:textId="618E23BF"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articles L1122-30 et L1321-1 du Code de la Démocratie Locale et de la Décentralisation ; </w:t>
      </w:r>
    </w:p>
    <w:p w14:paraId="444DF144" w14:textId="24FE496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loi du 20.07.1971, telle que modifiée, sur les funérailles et sépultures ; </w:t>
      </w:r>
    </w:p>
    <w:p w14:paraId="576F3470" w14:textId="4A52C74A"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669EFAF9" w14:textId="64B437A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décret du 06/03/2009 relatif aux funérailles et sépultures ; </w:t>
      </w:r>
    </w:p>
    <w:p w14:paraId="671CB3D4" w14:textId="70C8C0D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dispositions légales et réglementaires en vigueur en matière d’établissement et de recouvrement des taxes communales ; </w:t>
      </w:r>
    </w:p>
    <w:p w14:paraId="513DDDEA" w14:textId="609BB008"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recommandations émises par la circulaire du 15/09/2025 relative à l’élaboration des budgets des communes de la Région wallonne pour l’année 2026 ; </w:t>
      </w:r>
    </w:p>
    <w:p w14:paraId="704F2609" w14:textId="4FBD035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situation financière de la Commune ; </w:t>
      </w:r>
    </w:p>
    <w:p w14:paraId="08311989" w14:textId="2135F1AE"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qu’en application de l’article L1124-40 §1, 3° du CDLD, l’avis du Receveur régional a été demandé en date du 15 septembre 2025 ; </w:t>
      </w:r>
    </w:p>
    <w:p w14:paraId="39317AF7" w14:textId="2D856838"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l’avis favorable rendu par le Receveur régional en date du 23 septembre 2025 et joint en annexe ; </w:t>
      </w:r>
    </w:p>
    <w:p w14:paraId="57CDA7A6" w14:textId="71FBF52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Sur proposition du Collège communal ; </w:t>
      </w:r>
    </w:p>
    <w:p w14:paraId="72988668" w14:textId="69F9881A" w:rsidR="00EC7D63" w:rsidRPr="000378E8" w:rsidRDefault="003E1155">
      <w:pPr>
        <w:pStyle w:val="QHx2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À l’unanimité ;</w:t>
      </w:r>
      <w:r w:rsidRPr="000378E8">
        <w:rPr>
          <w:rFonts w:ascii="Times New Roman" w:hAnsi="Times New Roman" w:cs="Times New Roman"/>
          <w:b/>
          <w:bCs/>
          <w:sz w:val="22"/>
          <w:szCs w:val="22"/>
        </w:rPr>
        <w:t> </w:t>
      </w:r>
    </w:p>
    <w:p w14:paraId="41704B93" w14:textId="24E735AC" w:rsidR="00EC7D63" w:rsidRPr="000378E8" w:rsidRDefault="003E1155">
      <w:pPr>
        <w:pStyle w:val="QHx2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lastRenderedPageBreak/>
        <w:t>ARRÊTE :</w:t>
      </w:r>
      <w:r w:rsidRPr="000378E8">
        <w:rPr>
          <w:rFonts w:ascii="Times New Roman" w:hAnsi="Times New Roman" w:cs="Times New Roman"/>
          <w:b/>
          <w:bCs/>
          <w:sz w:val="22"/>
          <w:szCs w:val="22"/>
        </w:rPr>
        <w:t> </w:t>
      </w:r>
    </w:p>
    <w:p w14:paraId="5E8A0089" w14:textId="5502D45C"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1 </w:t>
      </w:r>
      <w:r w:rsidRPr="005C6946">
        <w:rPr>
          <w:rFonts w:ascii="Times New Roman" w:hAnsi="Times New Roman" w:cs="Times New Roman"/>
          <w:sz w:val="22"/>
          <w:szCs w:val="22"/>
        </w:rPr>
        <w:t>: Dès l’entrée en vigueur de la présente décision au plus tôt le 1er janvier 2026 et pour une période expirant le 31 décembre 2030, il est établi, au profit de la Commune, une taxe sur les inhumations, dispersions des cendres et mises en columbarium après crémation. </w:t>
      </w:r>
    </w:p>
    <w:p w14:paraId="080443D6" w14:textId="6899B532" w:rsidR="00EC7D63" w:rsidRPr="000378E8" w:rsidRDefault="003E1155">
      <w:pPr>
        <w:pStyle w:val="QHx2pod"/>
        <w:rPr>
          <w:rFonts w:ascii="Times New Roman" w:hAnsi="Times New Roman" w:cs="Times New Roman"/>
          <w:b/>
          <w:bCs/>
          <w:sz w:val="22"/>
          <w:szCs w:val="22"/>
        </w:rPr>
      </w:pPr>
      <w:r w:rsidRPr="005C6946">
        <w:rPr>
          <w:rStyle w:val="QHx8pod"/>
          <w:rFonts w:ascii="Times New Roman" w:hAnsi="Times New Roman" w:cs="Times New Roman"/>
          <w:sz w:val="22"/>
          <w:szCs w:val="22"/>
        </w:rPr>
        <w:t>Article 2</w:t>
      </w:r>
      <w:r w:rsidRPr="005C6946">
        <w:rPr>
          <w:rFonts w:ascii="Times New Roman" w:hAnsi="Times New Roman" w:cs="Times New Roman"/>
          <w:sz w:val="22"/>
          <w:szCs w:val="22"/>
        </w:rPr>
        <w:t xml:space="preserve"> : La taxe sur les inhumations, dispersions des cendres et mises en columbarium après crémation est fixée à </w:t>
      </w:r>
      <w:r w:rsidRPr="000378E8">
        <w:rPr>
          <w:rStyle w:val="QHx4pod"/>
          <w:rFonts w:ascii="Times New Roman" w:hAnsi="Times New Roman" w:cs="Times New Roman"/>
          <w:b w:val="0"/>
          <w:bCs/>
          <w:sz w:val="22"/>
          <w:szCs w:val="22"/>
        </w:rPr>
        <w:t>300.-€uros.</w:t>
      </w:r>
      <w:r w:rsidRPr="000378E8">
        <w:rPr>
          <w:rFonts w:ascii="Times New Roman" w:hAnsi="Times New Roman" w:cs="Times New Roman"/>
          <w:b/>
          <w:bCs/>
          <w:sz w:val="22"/>
          <w:szCs w:val="22"/>
        </w:rPr>
        <w:t> </w:t>
      </w:r>
    </w:p>
    <w:p w14:paraId="26AB2CB4" w14:textId="77777777" w:rsidR="00EC7D63" w:rsidRPr="000378E8" w:rsidRDefault="003E1155">
      <w:pPr>
        <w:pStyle w:val="QHx2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Elle ne s’applique pas :</w:t>
      </w:r>
    </w:p>
    <w:p w14:paraId="0FDEC591"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à l’inhumation, la dispersion des cendres et mise en columbarium après crémation de personnes décédées sur le territoire communal.</w:t>
      </w:r>
    </w:p>
    <w:p w14:paraId="704E0CC9"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à l’inhumation, la dispersion des cendres et mise en columbarium après crémation des personnes inscrites dans le registre de la population, le registre des étrangers ou le registre d'attente de la commune ou l’ayant été et qui, pour des raisons de santé ou de vieillesse, se trouvent institutionalisées ou hébergées auprès de sa famille en dehors du territoire communal ;</w:t>
      </w:r>
    </w:p>
    <w:p w14:paraId="7D4D754D"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à l’inhumation, la dispersion des cendres et mise en columbarium après crémation des indigents ;</w:t>
      </w:r>
    </w:p>
    <w:p w14:paraId="706FB456" w14:textId="6BC92EF4"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à l’inhumation, la dispersion des cendres et mise en columbarium après crémation des militaires et civils morts pour la Patrie. </w:t>
      </w:r>
    </w:p>
    <w:p w14:paraId="576DCB1F" w14:textId="201B4725"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3</w:t>
      </w:r>
      <w:r w:rsidRPr="005C6946">
        <w:rPr>
          <w:rFonts w:ascii="Times New Roman" w:hAnsi="Times New Roman" w:cs="Times New Roman"/>
          <w:sz w:val="22"/>
          <w:szCs w:val="22"/>
        </w:rPr>
        <w:t xml:space="preserve"> : La taxe est due par la personne qui demande l’autorisation d’inhumation, la dispersion des cendres et mise en columbarium après crémation. </w:t>
      </w:r>
    </w:p>
    <w:p w14:paraId="34E5BFC3" w14:textId="51851DB3"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4</w:t>
      </w:r>
      <w:r w:rsidRPr="005C6946">
        <w:rPr>
          <w:rFonts w:ascii="Times New Roman" w:hAnsi="Times New Roman" w:cs="Times New Roman"/>
          <w:sz w:val="22"/>
          <w:szCs w:val="22"/>
        </w:rPr>
        <w:t xml:space="preserve"> : La taxe est payable au comptant, entre les mains du préposé de l’Administration communale, qui en délivrera quittance. </w:t>
      </w:r>
    </w:p>
    <w:p w14:paraId="5D39E022" w14:textId="7AD12BE6"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5</w:t>
      </w:r>
      <w:r w:rsidRPr="005C6946">
        <w:rPr>
          <w:rFonts w:ascii="Times New Roman" w:hAnsi="Times New Roman" w:cs="Times New Roman"/>
          <w:sz w:val="22"/>
          <w:szCs w:val="22"/>
        </w:rPr>
        <w:t xml:space="preserve"> : À défaut de paiement à l’amiable, le recouvrement de la redevance s’effectue conformément aux dispositions de l’article L1124-40 §1er 1° du Code de la Démocratie locale et de la Décentralisation, tel que modifié par le Décret du 18 avril 2013. </w:t>
      </w:r>
    </w:p>
    <w:p w14:paraId="2BEABEB6" w14:textId="458E0885"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6</w:t>
      </w:r>
      <w:r w:rsidRPr="005C6946">
        <w:rPr>
          <w:rFonts w:ascii="Times New Roman" w:hAnsi="Times New Roman" w:cs="Times New Roman"/>
          <w:sz w:val="22"/>
          <w:szCs w:val="22"/>
        </w:rPr>
        <w:t> : La présente délibération sera publiée conformément aux articles L1133-1 et L1133-2 du Code de la Démocratie Locale et de la Décentralisation. </w:t>
      </w:r>
    </w:p>
    <w:p w14:paraId="0CC4AA46" w14:textId="15A9692D" w:rsidR="00EC7D63" w:rsidRPr="005C6946" w:rsidRDefault="003E1155" w:rsidP="000378E8">
      <w:pPr>
        <w:pStyle w:val="QHx2pod"/>
        <w:rPr>
          <w:rFonts w:ascii="Times New Roman" w:hAnsi="Times New Roman" w:cs="Times New Roman"/>
          <w:color w:val="000000"/>
          <w:sz w:val="22"/>
          <w:szCs w:val="22"/>
        </w:rPr>
      </w:pPr>
      <w:r w:rsidRPr="005C6946">
        <w:rPr>
          <w:rStyle w:val="QHx8pod"/>
          <w:rFonts w:ascii="Times New Roman" w:hAnsi="Times New Roman" w:cs="Times New Roman"/>
          <w:sz w:val="22"/>
          <w:szCs w:val="22"/>
        </w:rPr>
        <w:t>Article 7</w:t>
      </w:r>
      <w:r w:rsidRPr="005C6946">
        <w:rPr>
          <w:rFonts w:ascii="Times New Roman" w:hAnsi="Times New Roman" w:cs="Times New Roman"/>
          <w:sz w:val="22"/>
          <w:szCs w:val="22"/>
        </w:rPr>
        <w:t xml:space="preserve"> : La présente délibération sera transmise au Gouvernement Wallon conformément aux articles L3131-1 et suivants dans le cadre de la tutelle spéciale d’approbation.</w:t>
      </w:r>
    </w:p>
    <w:p w14:paraId="6FC4FDEB"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734E0CF0" w14:textId="77777777" w:rsidR="00EC7D63" w:rsidRPr="005C6946" w:rsidRDefault="003E1155">
      <w:pPr>
        <w:pStyle w:val="Titre2"/>
        <w:tabs>
          <w:tab w:val="left" w:pos="1020"/>
        </w:tabs>
        <w:spacing w:before="0" w:after="113"/>
        <w:ind w:left="510" w:hanging="510"/>
        <w:jc w:val="both"/>
        <w:rPr>
          <w:rFonts w:cs="Times New Roman"/>
          <w:szCs w:val="22"/>
        </w:rPr>
      </w:pPr>
      <w:bookmarkStart w:id="3" w:name="__RefHeading___Toc1768_34993492363"/>
      <w:bookmarkEnd w:id="3"/>
      <w:r w:rsidRPr="005C6946">
        <w:rPr>
          <w:rFonts w:cs="Times New Roman"/>
          <w:color w:val="000000"/>
          <w:szCs w:val="22"/>
          <w:u w:val="none"/>
        </w:rPr>
        <w:t>4.</w:t>
      </w:r>
      <w:r w:rsidRPr="005C6946">
        <w:rPr>
          <w:rFonts w:cs="Times New Roman"/>
          <w:color w:val="000000"/>
          <w:szCs w:val="22"/>
          <w:u w:val="none"/>
        </w:rPr>
        <w:tab/>
      </w:r>
      <w:r w:rsidRPr="005C6946">
        <w:rPr>
          <w:rFonts w:cs="Times New Roman"/>
          <w:caps/>
          <w:color w:val="000000"/>
          <w:szCs w:val="22"/>
        </w:rPr>
        <w:t>REDEVANCE POUR L'OUVERTURE DE CAVEAUX - EXERCICES 2026 À 2030.</w:t>
      </w:r>
    </w:p>
    <w:p w14:paraId="14535B09"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6B7EEB1B" w14:textId="1F34ADC1"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Vu la Constitution, les articles 41, 162, 173 ; </w:t>
      </w:r>
    </w:p>
    <w:p w14:paraId="64CABF40" w14:textId="42FA86C0"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Vu le Code de la Démocratie Locale et de la Décentralisation, notamment les articles L1122-30 et L1321-1 ; </w:t>
      </w:r>
    </w:p>
    <w:p w14:paraId="1F9F8970" w14:textId="20105216"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2892FA31" w14:textId="2D29E3C5"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Vu le décret du 06/03/2009 relatif aux funérailles et sépultures ; </w:t>
      </w:r>
    </w:p>
    <w:p w14:paraId="5024B104" w14:textId="3B13C4DF"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Vu les recommandations émises par la circulaire du 15/09/2025 relative à l’élaboration des budgets des communes de la Région wallonne pour l’année 2026 ; </w:t>
      </w:r>
    </w:p>
    <w:p w14:paraId="7F7A9B12" w14:textId="007483B8"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Vu la situation financière de la Commune ; </w:t>
      </w:r>
    </w:p>
    <w:p w14:paraId="057A2215" w14:textId="10EDE21E"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Considérant qu’en application de l’article L1124-40 §1, 3° du CDLD, l’avis du Receveur régional a été demandé en date du 16 septembre 2025 ; </w:t>
      </w:r>
    </w:p>
    <w:p w14:paraId="2293E720" w14:textId="11085C30"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Vu l’avis favorable rendu par le Receveur régional en date du 23 septembre 2025 et joint en annexe ; </w:t>
      </w:r>
    </w:p>
    <w:p w14:paraId="3D697128" w14:textId="08C560C4"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Sur proposition du Collège communal ; </w:t>
      </w:r>
    </w:p>
    <w:p w14:paraId="1B0C6CC4" w14:textId="171DE754" w:rsidR="00EC7D63" w:rsidRPr="000378E8" w:rsidRDefault="003E1155">
      <w:pPr>
        <w:pStyle w:val="QHx9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À l'unanimité ;</w:t>
      </w:r>
      <w:r w:rsidRPr="000378E8">
        <w:rPr>
          <w:rFonts w:ascii="Times New Roman" w:hAnsi="Times New Roman" w:cs="Times New Roman"/>
          <w:b/>
          <w:bCs/>
          <w:sz w:val="22"/>
          <w:szCs w:val="22"/>
        </w:rPr>
        <w:t> </w:t>
      </w:r>
    </w:p>
    <w:p w14:paraId="3622092B" w14:textId="71405279" w:rsidR="00EC7D63" w:rsidRPr="000378E8" w:rsidRDefault="003E1155">
      <w:pPr>
        <w:pStyle w:val="QHx9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ARRÊTE :</w:t>
      </w:r>
      <w:r w:rsidRPr="000378E8">
        <w:rPr>
          <w:rFonts w:ascii="Times New Roman" w:hAnsi="Times New Roman" w:cs="Times New Roman"/>
          <w:b/>
          <w:bCs/>
          <w:sz w:val="22"/>
          <w:szCs w:val="22"/>
        </w:rPr>
        <w:t> </w:t>
      </w:r>
    </w:p>
    <w:p w14:paraId="2270A0C8" w14:textId="4BA8E30E" w:rsidR="00EC7D63" w:rsidRPr="005C6946" w:rsidRDefault="003E1155">
      <w:pPr>
        <w:pStyle w:val="QHx9pod"/>
        <w:rPr>
          <w:rFonts w:ascii="Times New Roman" w:hAnsi="Times New Roman" w:cs="Times New Roman"/>
          <w:sz w:val="22"/>
          <w:szCs w:val="22"/>
        </w:rPr>
      </w:pPr>
      <w:r w:rsidRPr="005C6946">
        <w:rPr>
          <w:rStyle w:val="QHx8pod"/>
          <w:rFonts w:ascii="Times New Roman" w:hAnsi="Times New Roman" w:cs="Times New Roman"/>
          <w:sz w:val="22"/>
          <w:szCs w:val="22"/>
        </w:rPr>
        <w:t>Article 1</w:t>
      </w:r>
      <w:r w:rsidRPr="005C6946">
        <w:rPr>
          <w:rFonts w:ascii="Times New Roman" w:hAnsi="Times New Roman" w:cs="Times New Roman"/>
          <w:sz w:val="22"/>
          <w:szCs w:val="22"/>
        </w:rPr>
        <w:t xml:space="preserve"> : Dès l’entrée en vigueur de la présente décision au plus tôt le 1er janvier 2026 et pour une période expirant le 31 décembre 2030, il est établi, au profit de la Commune, une redevance de</w:t>
      </w:r>
      <w:r w:rsidRPr="000378E8">
        <w:rPr>
          <w:rFonts w:ascii="Times New Roman" w:hAnsi="Times New Roman" w:cs="Times New Roman"/>
          <w:bCs/>
          <w:sz w:val="22"/>
          <w:szCs w:val="22"/>
        </w:rPr>
        <w:t xml:space="preserve"> </w:t>
      </w:r>
      <w:r w:rsidRPr="00AD0D50">
        <w:rPr>
          <w:rStyle w:val="QHx4pod"/>
          <w:rFonts w:ascii="Times New Roman" w:hAnsi="Times New Roman" w:cs="Times New Roman"/>
          <w:b w:val="0"/>
          <w:sz w:val="22"/>
          <w:szCs w:val="22"/>
        </w:rPr>
        <w:t>250 €uros</w:t>
      </w:r>
      <w:r w:rsidRPr="005C6946">
        <w:rPr>
          <w:rStyle w:val="QHx4pod"/>
          <w:rFonts w:ascii="Times New Roman" w:hAnsi="Times New Roman" w:cs="Times New Roman"/>
          <w:sz w:val="22"/>
          <w:szCs w:val="22"/>
        </w:rPr>
        <w:t xml:space="preserve"> </w:t>
      </w:r>
      <w:r w:rsidRPr="005C6946">
        <w:rPr>
          <w:rFonts w:ascii="Times New Roman" w:hAnsi="Times New Roman" w:cs="Times New Roman"/>
          <w:sz w:val="22"/>
          <w:szCs w:val="22"/>
        </w:rPr>
        <w:t>pour toute ouverture de caveau demandée par des particuliers à d’autres fins que l’inhumation ou l’exhumation d’un corps. </w:t>
      </w:r>
    </w:p>
    <w:p w14:paraId="5FFB6245" w14:textId="291B7252" w:rsidR="00EC7D63" w:rsidRPr="005C6946" w:rsidRDefault="003E1155">
      <w:pPr>
        <w:pStyle w:val="QHx9pod"/>
        <w:rPr>
          <w:rFonts w:ascii="Times New Roman" w:hAnsi="Times New Roman" w:cs="Times New Roman"/>
          <w:sz w:val="22"/>
          <w:szCs w:val="22"/>
        </w:rPr>
      </w:pPr>
      <w:r w:rsidRPr="005C6946">
        <w:rPr>
          <w:rStyle w:val="QHx8pod"/>
          <w:rFonts w:ascii="Times New Roman" w:hAnsi="Times New Roman" w:cs="Times New Roman"/>
          <w:sz w:val="22"/>
          <w:szCs w:val="22"/>
        </w:rPr>
        <w:t>Article 2</w:t>
      </w:r>
      <w:r w:rsidRPr="005C6946">
        <w:rPr>
          <w:rFonts w:ascii="Times New Roman" w:hAnsi="Times New Roman" w:cs="Times New Roman"/>
          <w:sz w:val="22"/>
          <w:szCs w:val="22"/>
        </w:rPr>
        <w:t xml:space="preserve"> : La redevance est due par la personne qui demande l’ouverture du caveau. </w:t>
      </w:r>
    </w:p>
    <w:p w14:paraId="7A7ADE24" w14:textId="1CFD6C4A" w:rsidR="00EC7D63" w:rsidRPr="005C6946" w:rsidRDefault="003E1155">
      <w:pPr>
        <w:pStyle w:val="QHx9pod"/>
        <w:rPr>
          <w:rFonts w:ascii="Times New Roman" w:hAnsi="Times New Roman" w:cs="Times New Roman"/>
          <w:sz w:val="22"/>
          <w:szCs w:val="22"/>
        </w:rPr>
      </w:pPr>
      <w:r w:rsidRPr="005C6946">
        <w:rPr>
          <w:rStyle w:val="QHx8pod"/>
          <w:rFonts w:ascii="Times New Roman" w:hAnsi="Times New Roman" w:cs="Times New Roman"/>
          <w:sz w:val="22"/>
          <w:szCs w:val="22"/>
        </w:rPr>
        <w:t>Article 3</w:t>
      </w:r>
      <w:r w:rsidRPr="005C6946">
        <w:rPr>
          <w:rFonts w:ascii="Times New Roman" w:hAnsi="Times New Roman" w:cs="Times New Roman"/>
          <w:sz w:val="22"/>
          <w:szCs w:val="22"/>
        </w:rPr>
        <w:t xml:space="preserve"> : Le montant de la redevance doit être consigné par le demandeur, lors de la demande, entre les mains du préposé de l’Administration Communale qui en délivrera quittance. </w:t>
      </w:r>
    </w:p>
    <w:p w14:paraId="2DF77CC5" w14:textId="413004B6" w:rsidR="00EC7D63" w:rsidRPr="005C6946" w:rsidRDefault="003E1155">
      <w:pPr>
        <w:pStyle w:val="QHx9pod"/>
        <w:rPr>
          <w:rFonts w:ascii="Times New Roman" w:hAnsi="Times New Roman" w:cs="Times New Roman"/>
          <w:sz w:val="22"/>
          <w:szCs w:val="22"/>
        </w:rPr>
      </w:pPr>
      <w:r w:rsidRPr="005C6946">
        <w:rPr>
          <w:rStyle w:val="QHx8pod"/>
          <w:rFonts w:ascii="Times New Roman" w:hAnsi="Times New Roman" w:cs="Times New Roman"/>
          <w:sz w:val="22"/>
          <w:szCs w:val="22"/>
        </w:rPr>
        <w:t>Article 4</w:t>
      </w:r>
      <w:r w:rsidRPr="005C6946">
        <w:rPr>
          <w:rFonts w:ascii="Times New Roman" w:hAnsi="Times New Roman" w:cs="Times New Roman"/>
          <w:sz w:val="22"/>
          <w:szCs w:val="22"/>
        </w:rPr>
        <w:t xml:space="preserve"> : À défaut de paiement à l’amiable, le recouvrement de la redevance s’effectue conformément aux dispositions de l’article L1124-40 §1</w:t>
      </w:r>
      <w:r w:rsidRPr="005C6946">
        <w:rPr>
          <w:rStyle w:val="QHx10pod"/>
          <w:rFonts w:ascii="Times New Roman" w:hAnsi="Times New Roman" w:cs="Times New Roman"/>
          <w:sz w:val="22"/>
          <w:szCs w:val="22"/>
        </w:rPr>
        <w:t>er</w:t>
      </w:r>
      <w:r w:rsidRPr="005C6946">
        <w:rPr>
          <w:rFonts w:ascii="Times New Roman" w:hAnsi="Times New Roman" w:cs="Times New Roman"/>
          <w:sz w:val="22"/>
          <w:szCs w:val="22"/>
        </w:rPr>
        <w:t xml:space="preserve"> 1° du Code de la Démocratie locale et de la Décentralisation, tel que modifié par le Décret du 18 avril 2013. </w:t>
      </w:r>
    </w:p>
    <w:p w14:paraId="132A00F8" w14:textId="6A318BF0" w:rsidR="00EC7D63" w:rsidRPr="005C6946" w:rsidRDefault="003E1155">
      <w:pPr>
        <w:pStyle w:val="QHx9pod"/>
        <w:rPr>
          <w:rFonts w:ascii="Times New Roman" w:hAnsi="Times New Roman" w:cs="Times New Roman"/>
          <w:sz w:val="22"/>
          <w:szCs w:val="22"/>
        </w:rPr>
      </w:pPr>
      <w:r w:rsidRPr="005C6946">
        <w:rPr>
          <w:rStyle w:val="QHx8pod"/>
          <w:rFonts w:ascii="Times New Roman" w:hAnsi="Times New Roman" w:cs="Times New Roman"/>
          <w:sz w:val="22"/>
          <w:szCs w:val="22"/>
        </w:rPr>
        <w:t>Article 5</w:t>
      </w:r>
      <w:r w:rsidRPr="005C6946">
        <w:rPr>
          <w:rFonts w:ascii="Times New Roman" w:hAnsi="Times New Roman" w:cs="Times New Roman"/>
          <w:sz w:val="22"/>
          <w:szCs w:val="22"/>
        </w:rPr>
        <w:t> : La présente délibération sera publiée conformément aux articles L1133-1 et L1133-2 du Code de la Démocratie Locale et de la Décentralisation. </w:t>
      </w:r>
    </w:p>
    <w:p w14:paraId="71165B10" w14:textId="09D25D84" w:rsidR="00EC7D63" w:rsidRPr="005C6946" w:rsidRDefault="003E1155">
      <w:pPr>
        <w:pStyle w:val="QHx9pod"/>
        <w:rPr>
          <w:rFonts w:ascii="Times New Roman" w:hAnsi="Times New Roman" w:cs="Times New Roman"/>
          <w:sz w:val="22"/>
          <w:szCs w:val="22"/>
        </w:rPr>
      </w:pPr>
      <w:r w:rsidRPr="005C6946">
        <w:rPr>
          <w:rStyle w:val="QHx8pod"/>
          <w:rFonts w:ascii="Times New Roman" w:hAnsi="Times New Roman" w:cs="Times New Roman"/>
          <w:sz w:val="22"/>
          <w:szCs w:val="22"/>
        </w:rPr>
        <w:t>Article 6</w:t>
      </w:r>
      <w:r w:rsidRPr="005C6946">
        <w:rPr>
          <w:rFonts w:ascii="Times New Roman" w:hAnsi="Times New Roman" w:cs="Times New Roman"/>
          <w:sz w:val="22"/>
          <w:szCs w:val="22"/>
        </w:rPr>
        <w:t xml:space="preserve"> : La présente délibération sera transmise au Gouvernement Wallon conformément aux articles L3131-1 et suivants dans le cadre de la tutelle spéciale d'approbation. </w:t>
      </w:r>
    </w:p>
    <w:p w14:paraId="01B05FF7" w14:textId="77777777" w:rsidR="00EC7D63" w:rsidRPr="005C6946" w:rsidRDefault="00EC7D63">
      <w:pPr>
        <w:rPr>
          <w:rFonts w:ascii="Times New Roman" w:hAnsi="Times New Roman" w:cs="Times New Roman"/>
          <w:sz w:val="22"/>
          <w:szCs w:val="22"/>
        </w:rPr>
      </w:pPr>
    </w:p>
    <w:p w14:paraId="665E309D" w14:textId="77777777" w:rsidR="00EC7D63" w:rsidRPr="005C6946" w:rsidRDefault="00EC7D63">
      <w:pPr>
        <w:pStyle w:val="Titre2"/>
        <w:tabs>
          <w:tab w:val="left" w:pos="1020"/>
        </w:tabs>
        <w:spacing w:before="0" w:after="0"/>
        <w:ind w:left="510" w:hanging="510"/>
        <w:jc w:val="both"/>
        <w:rPr>
          <w:rFonts w:cs="Times New Roman"/>
          <w:color w:val="000000"/>
          <w:szCs w:val="22"/>
          <w:u w:val="none"/>
        </w:rPr>
      </w:pPr>
    </w:p>
    <w:p w14:paraId="467BE57B"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1A1F867D" w14:textId="77777777" w:rsidR="00EC7D63" w:rsidRPr="005C6946" w:rsidRDefault="003E1155">
      <w:pPr>
        <w:pStyle w:val="Titre2"/>
        <w:tabs>
          <w:tab w:val="left" w:pos="1020"/>
        </w:tabs>
        <w:spacing w:before="0" w:after="113"/>
        <w:ind w:left="510" w:hanging="510"/>
        <w:jc w:val="both"/>
        <w:rPr>
          <w:rFonts w:cs="Times New Roman"/>
          <w:szCs w:val="22"/>
        </w:rPr>
      </w:pPr>
      <w:bookmarkStart w:id="4" w:name="__RefHeading___Toc1768_34993492364"/>
      <w:bookmarkEnd w:id="4"/>
      <w:r w:rsidRPr="005C6946">
        <w:rPr>
          <w:rFonts w:cs="Times New Roman"/>
          <w:color w:val="000000"/>
          <w:szCs w:val="22"/>
          <w:u w:val="none"/>
        </w:rPr>
        <w:t>5.</w:t>
      </w:r>
      <w:r w:rsidRPr="005C6946">
        <w:rPr>
          <w:rFonts w:cs="Times New Roman"/>
          <w:color w:val="000000"/>
          <w:szCs w:val="22"/>
          <w:u w:val="none"/>
        </w:rPr>
        <w:tab/>
      </w:r>
      <w:r w:rsidRPr="005C6946">
        <w:rPr>
          <w:rFonts w:cs="Times New Roman"/>
          <w:caps/>
          <w:color w:val="000000"/>
          <w:szCs w:val="22"/>
        </w:rPr>
        <w:t>REDEVANCE SUR LA DÉLIVRANCE DE RENOUVELLEMENT DES CONCESSIONS AU CIMETIÈRE - EXERCICES 2026 À 2030.</w:t>
      </w:r>
    </w:p>
    <w:p w14:paraId="467724FA"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1BBF7E4C" w14:textId="665A56EF"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Constitution, les articles 41, 162 et 173 ; </w:t>
      </w:r>
    </w:p>
    <w:p w14:paraId="35ED14E0" w14:textId="32C601B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Code de la Démocratie Locale et de la Décentralisation, notamment les articles L1122-30 et L1321-1 ; </w:t>
      </w:r>
    </w:p>
    <w:p w14:paraId="279D5B19" w14:textId="713BA83B"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loi du 20/07/1971 sur les funérailles et sépultures telle que modifiée ; </w:t>
      </w:r>
    </w:p>
    <w:p w14:paraId="0E6F695B" w14:textId="18B1E3D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495B299B" w14:textId="7B7E3AB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décret du 06/03/2009 relatif aux funérailles et sépultures ; </w:t>
      </w:r>
    </w:p>
    <w:p w14:paraId="4EBBDB73" w14:textId="349F849A"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recommandations émises par la circulaire du 15/09/2025 relative à l’élaboration des budgets des communes de la Région wallonne pour l’année 2026 ; </w:t>
      </w:r>
    </w:p>
    <w:p w14:paraId="560194AD" w14:textId="66AEE72D"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situation financière de la Commune ; </w:t>
      </w:r>
    </w:p>
    <w:p w14:paraId="5B698256" w14:textId="5EE7A46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qu’il convient d’apporter tout le soin nécessaire aux travaux d’exhumations exécutés par les services communaux à la demande des familles ; </w:t>
      </w:r>
    </w:p>
    <w:p w14:paraId="6EA1CE4A" w14:textId="779A00D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qu’en application de l’article L1124-40 §1, 3° du CDLD, l’avis du Receveur régional a été demandé en date du 16 septembre 2025 ; </w:t>
      </w:r>
    </w:p>
    <w:p w14:paraId="08670D3F" w14:textId="6A1E3B1F"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l’avis favorable rendu par le Receveur régional en date du 23 septembre 2025 et joint en annexe ; </w:t>
      </w:r>
    </w:p>
    <w:p w14:paraId="1B33F3A4" w14:textId="24CF155D"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Sur proposition du Collège communal ; </w:t>
      </w:r>
    </w:p>
    <w:p w14:paraId="06E0D7E5" w14:textId="3773695A" w:rsidR="00EC7D63" w:rsidRPr="000378E8" w:rsidRDefault="003E1155">
      <w:pPr>
        <w:pStyle w:val="QHx2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À l’unanimité ;</w:t>
      </w:r>
      <w:r w:rsidRPr="000378E8">
        <w:rPr>
          <w:rFonts w:ascii="Times New Roman" w:hAnsi="Times New Roman" w:cs="Times New Roman"/>
          <w:b/>
          <w:bCs/>
          <w:sz w:val="22"/>
          <w:szCs w:val="22"/>
        </w:rPr>
        <w:t> </w:t>
      </w:r>
    </w:p>
    <w:p w14:paraId="4455F1F3" w14:textId="619D6FFE" w:rsidR="00EC7D63" w:rsidRPr="000378E8" w:rsidRDefault="003E1155">
      <w:pPr>
        <w:pStyle w:val="QHx2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ARRÊTE : </w:t>
      </w:r>
      <w:r w:rsidRPr="000378E8">
        <w:rPr>
          <w:rFonts w:ascii="Times New Roman" w:hAnsi="Times New Roman" w:cs="Times New Roman"/>
          <w:b/>
          <w:bCs/>
          <w:sz w:val="22"/>
          <w:szCs w:val="22"/>
        </w:rPr>
        <w:t> </w:t>
      </w:r>
    </w:p>
    <w:p w14:paraId="334E5667" w14:textId="6FDE5C5B"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1er </w:t>
      </w:r>
      <w:r w:rsidRPr="005C6946">
        <w:rPr>
          <w:rFonts w:ascii="Times New Roman" w:hAnsi="Times New Roman" w:cs="Times New Roman"/>
          <w:sz w:val="22"/>
          <w:szCs w:val="22"/>
        </w:rPr>
        <w:t>: La présente décision entrera en vigueur après accomplissement des formalités de la publication faites conformément aux articles L1133-1 et L1133-2 du Code de la Démocratie Locale et de la Décentralisation, au plus tôt le 1er janvier 2026 et pour une période expirant le 31 décembre 2030, au profit de la Commune. </w:t>
      </w:r>
    </w:p>
    <w:p w14:paraId="6CF99A41" w14:textId="4089FD4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2 </w:t>
      </w:r>
      <w:r w:rsidRPr="005C6946">
        <w:rPr>
          <w:rFonts w:ascii="Times New Roman" w:hAnsi="Times New Roman" w:cs="Times New Roman"/>
          <w:sz w:val="22"/>
          <w:szCs w:val="22"/>
        </w:rPr>
        <w:t xml:space="preserve">: La redevance est fixée à un forfait de </w:t>
      </w:r>
      <w:r w:rsidRPr="000378E8">
        <w:rPr>
          <w:rStyle w:val="QHx4pod"/>
          <w:rFonts w:ascii="Times New Roman" w:hAnsi="Times New Roman" w:cs="Times New Roman"/>
          <w:b w:val="0"/>
          <w:bCs/>
          <w:sz w:val="22"/>
          <w:szCs w:val="22"/>
        </w:rPr>
        <w:t>250 €uros.</w:t>
      </w:r>
      <w:r w:rsidRPr="005C6946">
        <w:rPr>
          <w:rFonts w:ascii="Times New Roman" w:hAnsi="Times New Roman" w:cs="Times New Roman"/>
          <w:sz w:val="22"/>
          <w:szCs w:val="22"/>
        </w:rPr>
        <w:t> </w:t>
      </w:r>
    </w:p>
    <w:p w14:paraId="0AE467D2" w14:textId="08C66E21"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3 </w:t>
      </w:r>
      <w:r w:rsidRPr="005C6946">
        <w:rPr>
          <w:rFonts w:ascii="Times New Roman" w:hAnsi="Times New Roman" w:cs="Times New Roman"/>
          <w:sz w:val="22"/>
          <w:szCs w:val="22"/>
        </w:rPr>
        <w:t>: La redevance est due par le demandeur. La redevance sera recouvrée au comptant. </w:t>
      </w:r>
    </w:p>
    <w:p w14:paraId="0EE94F86" w14:textId="3F7B999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4 </w:t>
      </w:r>
      <w:r w:rsidRPr="005C6946">
        <w:rPr>
          <w:rFonts w:ascii="Times New Roman" w:hAnsi="Times New Roman" w:cs="Times New Roman"/>
          <w:sz w:val="22"/>
          <w:szCs w:val="22"/>
        </w:rPr>
        <w:t>: À défaut de paiement à l’amiable, le recouvrement de la redevance s’effectue conformément aux dispositions de l’article L1124-40 §1</w:t>
      </w:r>
      <w:r w:rsidRPr="005C6946">
        <w:rPr>
          <w:rStyle w:val="QHx10pod"/>
          <w:rFonts w:ascii="Times New Roman" w:hAnsi="Times New Roman" w:cs="Times New Roman"/>
          <w:sz w:val="22"/>
          <w:szCs w:val="22"/>
        </w:rPr>
        <w:t>er</w:t>
      </w:r>
      <w:r w:rsidRPr="005C6946">
        <w:rPr>
          <w:rFonts w:ascii="Times New Roman" w:hAnsi="Times New Roman" w:cs="Times New Roman"/>
          <w:sz w:val="22"/>
          <w:szCs w:val="22"/>
        </w:rPr>
        <w:t> 1° du Code de la Démocratie locale et de la Décentralisation, tel que modifié par le Décret du 18 avril 2013. </w:t>
      </w:r>
    </w:p>
    <w:p w14:paraId="3C359C49" w14:textId="03C01924"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5 </w:t>
      </w:r>
      <w:r w:rsidRPr="005C6946">
        <w:rPr>
          <w:rFonts w:ascii="Times New Roman" w:hAnsi="Times New Roman" w:cs="Times New Roman"/>
          <w:sz w:val="22"/>
          <w:szCs w:val="22"/>
        </w:rPr>
        <w:t>: Le règlement sera transmis au Gouvernement wallon. </w:t>
      </w:r>
    </w:p>
    <w:p w14:paraId="23451823" w14:textId="09AD67DC" w:rsidR="00EC7D63" w:rsidRPr="005C6946" w:rsidRDefault="003E1155" w:rsidP="000378E8">
      <w:pPr>
        <w:pStyle w:val="QHx2pod"/>
        <w:rPr>
          <w:rFonts w:ascii="Times New Roman" w:hAnsi="Times New Roman" w:cs="Times New Roman"/>
          <w:color w:val="000000"/>
          <w:sz w:val="22"/>
          <w:szCs w:val="22"/>
        </w:rPr>
      </w:pPr>
      <w:r w:rsidRPr="005C6946">
        <w:rPr>
          <w:rStyle w:val="QHx8pod"/>
          <w:rFonts w:ascii="Times New Roman" w:hAnsi="Times New Roman" w:cs="Times New Roman"/>
          <w:sz w:val="22"/>
          <w:szCs w:val="22"/>
        </w:rPr>
        <w:t>Article 6</w:t>
      </w:r>
      <w:r w:rsidRPr="005C6946">
        <w:rPr>
          <w:rFonts w:ascii="Times New Roman" w:hAnsi="Times New Roman" w:cs="Times New Roman"/>
          <w:sz w:val="22"/>
          <w:szCs w:val="22"/>
        </w:rPr>
        <w:t> : La présente délibération sera publiée conformément aux articles L1133-1 et L1133-2 du Code de la Démocratie Locale et de la Décentralisation.</w:t>
      </w:r>
    </w:p>
    <w:p w14:paraId="2CBBA985"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36630CA3" w14:textId="77777777" w:rsidR="00EC7D63" w:rsidRPr="005C6946" w:rsidRDefault="003E1155">
      <w:pPr>
        <w:pStyle w:val="Titre2"/>
        <w:tabs>
          <w:tab w:val="left" w:pos="1020"/>
        </w:tabs>
        <w:spacing w:before="0" w:after="113"/>
        <w:ind w:left="510" w:hanging="510"/>
        <w:jc w:val="both"/>
        <w:rPr>
          <w:rFonts w:cs="Times New Roman"/>
          <w:szCs w:val="22"/>
        </w:rPr>
      </w:pPr>
      <w:bookmarkStart w:id="5" w:name="__RefHeading___Toc1768_34993492365"/>
      <w:bookmarkEnd w:id="5"/>
      <w:r w:rsidRPr="005C6946">
        <w:rPr>
          <w:rFonts w:cs="Times New Roman"/>
          <w:color w:val="000000"/>
          <w:szCs w:val="22"/>
          <w:u w:val="none"/>
        </w:rPr>
        <w:t>6.</w:t>
      </w:r>
      <w:r w:rsidRPr="005C6946">
        <w:rPr>
          <w:rFonts w:cs="Times New Roman"/>
          <w:color w:val="000000"/>
          <w:szCs w:val="22"/>
          <w:u w:val="none"/>
        </w:rPr>
        <w:tab/>
      </w:r>
      <w:r w:rsidRPr="005C6946">
        <w:rPr>
          <w:rFonts w:cs="Times New Roman"/>
          <w:caps/>
          <w:color w:val="000000"/>
          <w:szCs w:val="22"/>
        </w:rPr>
        <w:t>REDEVANCE SUR LES EXHUMATIONS - EXERCICES 2026 À 2030.</w:t>
      </w:r>
    </w:p>
    <w:p w14:paraId="10E8A155"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61FC6561" w14:textId="5C7613B3"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Vu la Constitution, les articles 41, 162 et 173 ; </w:t>
      </w:r>
    </w:p>
    <w:p w14:paraId="2828B5A4" w14:textId="38DE9D62"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Vu le Code de la Démocratie Locale et de la Décentralisation, notamment les articles L1122-30 et L1321-1 ; </w:t>
      </w:r>
    </w:p>
    <w:p w14:paraId="266F1110" w14:textId="4F488CE5"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Vu la loi du 20/07/1971 sur les funérailles et sépultures telle que modifiée ; </w:t>
      </w:r>
    </w:p>
    <w:p w14:paraId="0B727AE2" w14:textId="2D52144B"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6B87766F" w14:textId="201430CE"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Vu le décret du 06/03/2009 relatif aux funérailles et sépultures</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 </w:t>
      </w:r>
    </w:p>
    <w:p w14:paraId="54594D91" w14:textId="41A112A5"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Vu les recommandations émises par la circulaire du 15/09/2025 relative à l’élaboration des budgets des communes de la Région wallonne pour l’année 2026 ; </w:t>
      </w:r>
    </w:p>
    <w:p w14:paraId="328DBEE9" w14:textId="5B552C8A"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Vu la situation financière de la Commune ; </w:t>
      </w:r>
    </w:p>
    <w:p w14:paraId="2C3E676B" w14:textId="5F0D135D"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Considérant qu’il convient d’apporter tout le soin nécessaire aux travaux d’exhumations exécutés par les services communaux à la demande des familles</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 </w:t>
      </w:r>
    </w:p>
    <w:p w14:paraId="64B6A950" w14:textId="66989269"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Considérant que les exhumations de confort de cercueil ne peuvent être réalisées que par des entreprises de pompes funèbres privées sous surveillance communale</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 </w:t>
      </w:r>
    </w:p>
    <w:p w14:paraId="2CCEE90D" w14:textId="55CDEF9C"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Considérant que les exhumations de confort d'urne funéraire peuvent toujours être réalisées par le personnel communal</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 </w:t>
      </w:r>
    </w:p>
    <w:p w14:paraId="667B930E" w14:textId="12849B32"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Attendu que la commune peut lever une redevance pour récupérer les frais administratifs et autres liés par une exhumation faite par une entreprise de pompes funèbres</w:t>
      </w:r>
      <w:r w:rsidR="000378E8">
        <w:rPr>
          <w:rFonts w:ascii="Times New Roman" w:hAnsi="Times New Roman" w:cs="Times New Roman"/>
          <w:sz w:val="22"/>
          <w:szCs w:val="22"/>
        </w:rPr>
        <w:t xml:space="preserve"> </w:t>
      </w:r>
      <w:r w:rsidRPr="005C6946">
        <w:rPr>
          <w:rFonts w:ascii="Times New Roman" w:hAnsi="Times New Roman" w:cs="Times New Roman"/>
          <w:sz w:val="22"/>
          <w:szCs w:val="22"/>
        </w:rPr>
        <w:t>; </w:t>
      </w:r>
    </w:p>
    <w:p w14:paraId="0AB54121" w14:textId="0442794D"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Considérant qu’en application de l’article L1124-40 §1, 3° du CDLD, l’avis du Receveur régional a été demandé en date du 16 septembre 2025 ; </w:t>
      </w:r>
    </w:p>
    <w:p w14:paraId="499D0685" w14:textId="053431EE"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Vu l’avis favorable rendu par le Receveur régional en date du 23 septembre 2025 et joint en annexe ; </w:t>
      </w:r>
    </w:p>
    <w:p w14:paraId="280FF901" w14:textId="77777777"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Sur proposition du Collège communal ;</w:t>
      </w:r>
    </w:p>
    <w:p w14:paraId="07D0694B" w14:textId="77777777" w:rsidR="00EC7D63" w:rsidRPr="005C6946" w:rsidRDefault="003E1155">
      <w:pPr>
        <w:pStyle w:val="QHx9pod"/>
        <w:rPr>
          <w:rFonts w:ascii="Times New Roman" w:hAnsi="Times New Roman" w:cs="Times New Roman"/>
          <w:sz w:val="22"/>
          <w:szCs w:val="22"/>
        </w:rPr>
      </w:pPr>
      <w:r w:rsidRPr="005C6946">
        <w:rPr>
          <w:rFonts w:ascii="Times New Roman" w:hAnsi="Times New Roman" w:cs="Times New Roman"/>
          <w:sz w:val="22"/>
          <w:szCs w:val="22"/>
        </w:rPr>
        <w:t> </w:t>
      </w:r>
    </w:p>
    <w:p w14:paraId="57183216" w14:textId="194EDE6E" w:rsidR="00EC7D63" w:rsidRPr="000378E8" w:rsidRDefault="000378E8" w:rsidP="000378E8">
      <w:pPr>
        <w:pStyle w:val="QHx9pod"/>
        <w:ind w:left="0"/>
        <w:rPr>
          <w:rFonts w:ascii="Times New Roman" w:hAnsi="Times New Roman" w:cs="Times New Roman"/>
          <w:bCs/>
          <w:sz w:val="22"/>
          <w:szCs w:val="22"/>
        </w:rPr>
      </w:pPr>
      <w:r>
        <w:rPr>
          <w:rStyle w:val="QHx4pod"/>
          <w:rFonts w:ascii="Times New Roman" w:hAnsi="Times New Roman" w:cs="Times New Roman"/>
          <w:b w:val="0"/>
          <w:bCs/>
          <w:sz w:val="22"/>
          <w:szCs w:val="22"/>
        </w:rPr>
        <w:lastRenderedPageBreak/>
        <w:t>À</w:t>
      </w:r>
      <w:r w:rsidR="003E1155" w:rsidRPr="000378E8">
        <w:rPr>
          <w:rStyle w:val="QHx4pod"/>
          <w:rFonts w:ascii="Times New Roman" w:hAnsi="Times New Roman" w:cs="Times New Roman"/>
          <w:b w:val="0"/>
          <w:bCs/>
          <w:sz w:val="22"/>
          <w:szCs w:val="22"/>
        </w:rPr>
        <w:t xml:space="preserve"> l’unanimité ;</w:t>
      </w:r>
      <w:r w:rsidR="003E1155" w:rsidRPr="000378E8">
        <w:rPr>
          <w:rFonts w:ascii="Times New Roman" w:hAnsi="Times New Roman" w:cs="Times New Roman"/>
          <w:bCs/>
          <w:sz w:val="22"/>
          <w:szCs w:val="22"/>
        </w:rPr>
        <w:t> </w:t>
      </w:r>
    </w:p>
    <w:p w14:paraId="6346267B" w14:textId="01B7E001" w:rsidR="00EC7D63" w:rsidRPr="005C6946" w:rsidRDefault="003E1155" w:rsidP="000378E8">
      <w:pPr>
        <w:pStyle w:val="QHx9pod"/>
        <w:ind w:left="0"/>
        <w:rPr>
          <w:rFonts w:ascii="Times New Roman" w:hAnsi="Times New Roman" w:cs="Times New Roman"/>
          <w:sz w:val="22"/>
          <w:szCs w:val="22"/>
        </w:rPr>
      </w:pPr>
      <w:r w:rsidRPr="000378E8">
        <w:rPr>
          <w:rStyle w:val="QHx4pod"/>
          <w:rFonts w:ascii="Times New Roman" w:hAnsi="Times New Roman" w:cs="Times New Roman"/>
          <w:b w:val="0"/>
          <w:bCs/>
          <w:sz w:val="22"/>
          <w:szCs w:val="22"/>
        </w:rPr>
        <w:t>ARRÊTE, </w:t>
      </w:r>
      <w:r w:rsidRPr="005C6946">
        <w:rPr>
          <w:rFonts w:ascii="Times New Roman" w:hAnsi="Times New Roman" w:cs="Times New Roman"/>
          <w:sz w:val="22"/>
          <w:szCs w:val="22"/>
        </w:rPr>
        <w:t> </w:t>
      </w:r>
    </w:p>
    <w:p w14:paraId="308961C4" w14:textId="06194921" w:rsidR="00EC7D63" w:rsidRPr="005C6946" w:rsidRDefault="003E1155" w:rsidP="000378E8">
      <w:pPr>
        <w:pStyle w:val="QHx9pod"/>
        <w:ind w:left="0"/>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1 </w:t>
      </w:r>
      <w:r w:rsidRPr="005C6946">
        <w:rPr>
          <w:rFonts w:ascii="Times New Roman" w:hAnsi="Times New Roman" w:cs="Times New Roman"/>
          <w:sz w:val="22"/>
          <w:szCs w:val="22"/>
        </w:rPr>
        <w:t>: La présente décision entrera en vigueur après accomplissement des formalités de la publication faites conformément aux articles L1133-1 et L1133-2 du Code de la Démocratie Locale et de la Décentralisation, au plus tôt le 1er janvier 2026 et pour une période expirant le 31 décembre 2030, au profit de la Commune. </w:t>
      </w:r>
    </w:p>
    <w:p w14:paraId="21786FE6" w14:textId="77777777" w:rsidR="00EC7D63" w:rsidRPr="005C6946" w:rsidRDefault="003E1155" w:rsidP="000378E8">
      <w:pPr>
        <w:pStyle w:val="QHx9pod"/>
        <w:ind w:left="0"/>
        <w:rPr>
          <w:rFonts w:ascii="Times New Roman" w:hAnsi="Times New Roman" w:cs="Times New Roman"/>
          <w:sz w:val="22"/>
          <w:szCs w:val="22"/>
        </w:rPr>
      </w:pPr>
      <w:r w:rsidRPr="005C6946">
        <w:rPr>
          <w:rStyle w:val="QHx8pod"/>
          <w:rFonts w:ascii="Times New Roman" w:hAnsi="Times New Roman" w:cs="Times New Roman"/>
          <w:sz w:val="22"/>
          <w:szCs w:val="22"/>
        </w:rPr>
        <w:t>Article 2</w:t>
      </w:r>
      <w:r w:rsidRPr="005C6946">
        <w:rPr>
          <w:rFonts w:ascii="Times New Roman" w:hAnsi="Times New Roman" w:cs="Times New Roman"/>
          <w:sz w:val="22"/>
          <w:szCs w:val="22"/>
        </w:rPr>
        <w:t xml:space="preserve"> : La redevance est due par la personne qui sollicite l’exhumation </w:t>
      </w:r>
      <w:r w:rsidRPr="000378E8">
        <w:rPr>
          <w:rStyle w:val="QHx4pod"/>
          <w:rFonts w:ascii="Times New Roman" w:hAnsi="Times New Roman" w:cs="Times New Roman"/>
          <w:b w:val="0"/>
          <w:bCs/>
          <w:sz w:val="22"/>
          <w:szCs w:val="22"/>
        </w:rPr>
        <w:t>(pour un cercueil ou pour une urne)</w:t>
      </w:r>
      <w:r w:rsidRPr="005C6946">
        <w:rPr>
          <w:rFonts w:ascii="Times New Roman" w:hAnsi="Times New Roman" w:cs="Times New Roman"/>
          <w:sz w:val="22"/>
          <w:szCs w:val="22"/>
        </w:rPr>
        <w:t xml:space="preserve"> et est fixée à :</w:t>
      </w:r>
    </w:p>
    <w:p w14:paraId="2469A046" w14:textId="77777777" w:rsidR="00EC7D63" w:rsidRPr="000378E8" w:rsidRDefault="003E1155">
      <w:pPr>
        <w:pStyle w:val="QHx9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- 500 €uros pour une exhumation depuis un caveau ;</w:t>
      </w:r>
    </w:p>
    <w:p w14:paraId="5A5F7130" w14:textId="13172466" w:rsidR="00EC7D63" w:rsidRPr="000378E8" w:rsidRDefault="003E1155">
      <w:pPr>
        <w:pStyle w:val="QHx9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- 1.500 €uros pour une exhumation depuis la pleine terre.</w:t>
      </w:r>
      <w:r w:rsidRPr="000378E8">
        <w:rPr>
          <w:rFonts w:ascii="Times New Roman" w:hAnsi="Times New Roman" w:cs="Times New Roman"/>
          <w:b/>
          <w:bCs/>
          <w:sz w:val="22"/>
          <w:szCs w:val="22"/>
        </w:rPr>
        <w:t> </w:t>
      </w:r>
    </w:p>
    <w:p w14:paraId="1A861E6D" w14:textId="77777777" w:rsidR="00EC7D63" w:rsidRPr="005C6946" w:rsidRDefault="003E1155" w:rsidP="000378E8">
      <w:pPr>
        <w:pStyle w:val="QHx9pod"/>
        <w:ind w:left="0"/>
        <w:rPr>
          <w:rFonts w:ascii="Times New Roman" w:hAnsi="Times New Roman" w:cs="Times New Roman"/>
          <w:sz w:val="22"/>
          <w:szCs w:val="22"/>
        </w:rPr>
      </w:pPr>
      <w:r w:rsidRPr="005C6946">
        <w:rPr>
          <w:rStyle w:val="QHx8pod"/>
          <w:rFonts w:ascii="Times New Roman" w:hAnsi="Times New Roman" w:cs="Times New Roman"/>
          <w:sz w:val="22"/>
          <w:szCs w:val="22"/>
        </w:rPr>
        <w:t xml:space="preserve">Elle ne s’applique pas </w:t>
      </w:r>
      <w:r w:rsidRPr="005C6946">
        <w:rPr>
          <w:rFonts w:ascii="Times New Roman" w:hAnsi="Times New Roman" w:cs="Times New Roman"/>
          <w:sz w:val="22"/>
          <w:szCs w:val="22"/>
        </w:rPr>
        <w:t>:</w:t>
      </w:r>
    </w:p>
    <w:p w14:paraId="2649F9DD" w14:textId="77777777"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 à l’exhumation ordonnée par l’autorité administrative ou judiciaire ;</w:t>
      </w:r>
    </w:p>
    <w:p w14:paraId="7F036AF3" w14:textId="77777777" w:rsidR="00EC7D63" w:rsidRPr="005C6946"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 à l’exhumation rendue nécessaire, en cas de désaffectation du cimetière, par le transfert au nouveau champ de repos des corps inhumés dans une concession ;</w:t>
      </w:r>
    </w:p>
    <w:p w14:paraId="706B4EE3" w14:textId="77777777" w:rsidR="000378E8" w:rsidRDefault="003E1155" w:rsidP="000378E8">
      <w:pPr>
        <w:pStyle w:val="QHx9pod"/>
        <w:ind w:left="0"/>
        <w:rPr>
          <w:rFonts w:ascii="Times New Roman" w:hAnsi="Times New Roman" w:cs="Times New Roman"/>
          <w:sz w:val="22"/>
          <w:szCs w:val="22"/>
        </w:rPr>
      </w:pPr>
      <w:r w:rsidRPr="005C6946">
        <w:rPr>
          <w:rFonts w:ascii="Times New Roman" w:hAnsi="Times New Roman" w:cs="Times New Roman"/>
          <w:sz w:val="22"/>
          <w:szCs w:val="22"/>
        </w:rPr>
        <w:t>- à l’exhumation de militaires et civils morts pour la Patrie. </w:t>
      </w:r>
    </w:p>
    <w:p w14:paraId="15164A04" w14:textId="1258B6D9" w:rsidR="00EC7D63" w:rsidRPr="005C6946" w:rsidRDefault="003E1155" w:rsidP="000378E8">
      <w:pPr>
        <w:pStyle w:val="QHx9pod"/>
        <w:ind w:left="0"/>
        <w:rPr>
          <w:rFonts w:ascii="Times New Roman" w:hAnsi="Times New Roman" w:cs="Times New Roman"/>
          <w:sz w:val="22"/>
          <w:szCs w:val="22"/>
        </w:rPr>
      </w:pPr>
      <w:r w:rsidRPr="005C6946">
        <w:rPr>
          <w:rStyle w:val="QHx8pod"/>
          <w:rFonts w:ascii="Times New Roman" w:hAnsi="Times New Roman" w:cs="Times New Roman"/>
          <w:sz w:val="22"/>
          <w:szCs w:val="22"/>
        </w:rPr>
        <w:t>Article 3</w:t>
      </w:r>
      <w:r w:rsidRPr="005C6946">
        <w:rPr>
          <w:rFonts w:ascii="Times New Roman" w:hAnsi="Times New Roman" w:cs="Times New Roman"/>
          <w:sz w:val="22"/>
          <w:szCs w:val="22"/>
        </w:rPr>
        <w:t> : La redevance doit être consignée lors de la demande du permis d’exhumation, entre les mains du préposé de l’Administration Communale qui en délivrera quittance. </w:t>
      </w:r>
    </w:p>
    <w:p w14:paraId="22B9C343" w14:textId="086632B9" w:rsidR="00EC7D63" w:rsidRPr="005C6946" w:rsidRDefault="003E1155" w:rsidP="000378E8">
      <w:pPr>
        <w:pStyle w:val="QHx9pod"/>
        <w:ind w:left="0"/>
        <w:rPr>
          <w:rFonts w:ascii="Times New Roman" w:hAnsi="Times New Roman" w:cs="Times New Roman"/>
          <w:sz w:val="22"/>
          <w:szCs w:val="22"/>
        </w:rPr>
      </w:pPr>
      <w:r w:rsidRPr="005C6946">
        <w:rPr>
          <w:rStyle w:val="QHx8pod"/>
          <w:rFonts w:ascii="Times New Roman" w:hAnsi="Times New Roman" w:cs="Times New Roman"/>
          <w:sz w:val="22"/>
          <w:szCs w:val="22"/>
        </w:rPr>
        <w:t>Article 4</w:t>
      </w:r>
      <w:r w:rsidRPr="005C6946">
        <w:rPr>
          <w:rFonts w:ascii="Times New Roman" w:hAnsi="Times New Roman" w:cs="Times New Roman"/>
          <w:sz w:val="22"/>
          <w:szCs w:val="22"/>
        </w:rPr>
        <w:t> : À défaut de paiement à l’amiable, le recouvrement de la redevance s’effectue conformément aux dispositions de l’article L1124-40 §1</w:t>
      </w:r>
      <w:r w:rsidRPr="005C6946">
        <w:rPr>
          <w:rStyle w:val="QHx10pod"/>
          <w:rFonts w:ascii="Times New Roman" w:hAnsi="Times New Roman" w:cs="Times New Roman"/>
          <w:sz w:val="22"/>
          <w:szCs w:val="22"/>
        </w:rPr>
        <w:t>er</w:t>
      </w:r>
      <w:r w:rsidRPr="005C6946">
        <w:rPr>
          <w:rFonts w:ascii="Times New Roman" w:hAnsi="Times New Roman" w:cs="Times New Roman"/>
          <w:sz w:val="22"/>
          <w:szCs w:val="22"/>
        </w:rPr>
        <w:t xml:space="preserve"> 1° du Code de la Démocratie locale et de la Décentralisation, tel que modifié par le Décret du 18 avril 2013. </w:t>
      </w:r>
    </w:p>
    <w:p w14:paraId="3BF41D91" w14:textId="53B4975B" w:rsidR="00EC7D63" w:rsidRPr="005C6946" w:rsidRDefault="003E1155" w:rsidP="000378E8">
      <w:pPr>
        <w:pStyle w:val="QHx9pod"/>
        <w:ind w:left="0"/>
        <w:rPr>
          <w:rFonts w:ascii="Times New Roman" w:hAnsi="Times New Roman" w:cs="Times New Roman"/>
          <w:sz w:val="22"/>
          <w:szCs w:val="22"/>
        </w:rPr>
      </w:pPr>
      <w:r w:rsidRPr="005C6946">
        <w:rPr>
          <w:rStyle w:val="QHx8pod"/>
          <w:rFonts w:ascii="Times New Roman" w:hAnsi="Times New Roman" w:cs="Times New Roman"/>
          <w:sz w:val="22"/>
          <w:szCs w:val="22"/>
        </w:rPr>
        <w:t>Article 5</w:t>
      </w:r>
      <w:r w:rsidRPr="005C6946">
        <w:rPr>
          <w:rFonts w:ascii="Times New Roman" w:hAnsi="Times New Roman" w:cs="Times New Roman"/>
          <w:sz w:val="22"/>
          <w:szCs w:val="22"/>
        </w:rPr>
        <w:t> : La présente délibération sera publiée conformément aux articles L1133-1 et L1133-2 du Code de la Démocratie Locale et de la Décentralisation. </w:t>
      </w:r>
    </w:p>
    <w:p w14:paraId="24434F41" w14:textId="5FBE532C" w:rsidR="00EC7D63" w:rsidRPr="005C6946" w:rsidRDefault="003E1155" w:rsidP="000378E8">
      <w:pPr>
        <w:pStyle w:val="QHx9pod"/>
        <w:ind w:left="0"/>
        <w:rPr>
          <w:rFonts w:ascii="Times New Roman" w:hAnsi="Times New Roman" w:cs="Times New Roman"/>
          <w:color w:val="000000"/>
          <w:sz w:val="22"/>
          <w:szCs w:val="22"/>
        </w:rPr>
      </w:pPr>
      <w:r w:rsidRPr="005C6946">
        <w:rPr>
          <w:rStyle w:val="QHx8pod"/>
          <w:rFonts w:ascii="Times New Roman" w:hAnsi="Times New Roman" w:cs="Times New Roman"/>
          <w:sz w:val="22"/>
          <w:szCs w:val="22"/>
        </w:rPr>
        <w:t>Article 6</w:t>
      </w:r>
      <w:r w:rsidRPr="005C6946">
        <w:rPr>
          <w:rFonts w:ascii="Times New Roman" w:hAnsi="Times New Roman" w:cs="Times New Roman"/>
          <w:sz w:val="22"/>
          <w:szCs w:val="22"/>
        </w:rPr>
        <w:t> : La présente délibération sera transmise au Gouvernement Wallon conformément aux articles L3131-1 et suivants dans le cadre de la tutelle spéciale d’approbation.</w:t>
      </w:r>
    </w:p>
    <w:p w14:paraId="45442716"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629C52DA" w14:textId="77777777" w:rsidR="00EC7D63" w:rsidRPr="005C6946" w:rsidRDefault="003E1155">
      <w:pPr>
        <w:pStyle w:val="Titre2"/>
        <w:tabs>
          <w:tab w:val="left" w:pos="1020"/>
        </w:tabs>
        <w:spacing w:before="0" w:after="113"/>
        <w:ind w:left="510" w:hanging="510"/>
        <w:jc w:val="both"/>
        <w:rPr>
          <w:rFonts w:cs="Times New Roman"/>
          <w:szCs w:val="22"/>
        </w:rPr>
      </w:pPr>
      <w:bookmarkStart w:id="6" w:name="__RefHeading___Toc1768_34993492366"/>
      <w:bookmarkEnd w:id="6"/>
      <w:r w:rsidRPr="005C6946">
        <w:rPr>
          <w:rFonts w:cs="Times New Roman"/>
          <w:color w:val="000000"/>
          <w:szCs w:val="22"/>
          <w:u w:val="none"/>
        </w:rPr>
        <w:t>7.</w:t>
      </w:r>
      <w:r w:rsidRPr="005C6946">
        <w:rPr>
          <w:rFonts w:cs="Times New Roman"/>
          <w:color w:val="000000"/>
          <w:szCs w:val="22"/>
          <w:u w:val="none"/>
        </w:rPr>
        <w:tab/>
      </w:r>
      <w:r w:rsidRPr="005C6946">
        <w:rPr>
          <w:rFonts w:cs="Times New Roman"/>
          <w:caps/>
          <w:color w:val="000000"/>
          <w:szCs w:val="22"/>
        </w:rPr>
        <w:t>REDEVANCE SUR LES TRANSLATIONS DE CAVEAU PRIVÉ À CAVEAU PRIVÉ. EXERCICES 2026 À 2030.</w:t>
      </w:r>
    </w:p>
    <w:p w14:paraId="4F22AE8E" w14:textId="77777777" w:rsidR="000378E8" w:rsidRDefault="003E1155" w:rsidP="000378E8">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56FCAD3C" w14:textId="5749F1FB" w:rsidR="00EC7D63" w:rsidRPr="005C6946" w:rsidRDefault="003E1155" w:rsidP="000378E8">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Vu la Constitution, les articles 41, 162 et 173 ; </w:t>
      </w:r>
    </w:p>
    <w:p w14:paraId="1BFE44AC" w14:textId="4AD50EA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articles L1122-30 et L1321-1 du Code de la Démocratie Locale et de la Décentralisation ; </w:t>
      </w:r>
    </w:p>
    <w:p w14:paraId="1FDBC6CE" w14:textId="6A9EE99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loi du 20/07/1971 sur les funérailles et sépultures telle que modifiée ; </w:t>
      </w:r>
    </w:p>
    <w:p w14:paraId="7285D583" w14:textId="6D741B0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décret du 14 décembre 2000 (M.B. 18.1.2001) et la loi du 24 juin 2000 (M.B. 23.9.2004, éd. 2) portant assentiment de la Charte européenne de l’autonomie locale, notamment l’article 9.1. de la Charte ; </w:t>
      </w:r>
    </w:p>
    <w:p w14:paraId="727D54B3" w14:textId="1A3E895B"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décret du 06/03/2009 relatif aux funérailles et sépultures ; </w:t>
      </w:r>
    </w:p>
    <w:p w14:paraId="77C075F8" w14:textId="6C283468"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recommandations émises par la circulaire du 15/09/2025 relative à l’élaboration des budgets des communes de la Région wallonne pour l’année 2026 ; </w:t>
      </w:r>
    </w:p>
    <w:p w14:paraId="566EEFE7" w14:textId="5D6F7D8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situation financière de la Commune ; </w:t>
      </w:r>
    </w:p>
    <w:p w14:paraId="1F05BEF7" w14:textId="192EA44B"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qu’il convient d’apporter tout le soin nécessaire aux travaux de translations de corps exécutés par les services communaux à la demande des familles ; </w:t>
      </w:r>
    </w:p>
    <w:p w14:paraId="3AA00EB3" w14:textId="2D61905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qu’en application de l’article L1124-40 §1, 3° du CDLD, l’avis du Receveur régional a été demandé en date du 16 septembre 2025 ; </w:t>
      </w:r>
    </w:p>
    <w:p w14:paraId="7E772375" w14:textId="12EB0AD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l’avis favorable rendu par le Receveur régional en date du 23 septembre 2025 et joint en annexe ; </w:t>
      </w:r>
    </w:p>
    <w:p w14:paraId="5A2A1C00" w14:textId="5E0B742E"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Sur proposition du Collège communal ; </w:t>
      </w:r>
    </w:p>
    <w:p w14:paraId="1F172045" w14:textId="7874EAA4" w:rsidR="00EC7D63" w:rsidRPr="000378E8" w:rsidRDefault="003E1155">
      <w:pPr>
        <w:pStyle w:val="QHx2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À l’unanimité ;</w:t>
      </w:r>
      <w:r w:rsidRPr="000378E8">
        <w:rPr>
          <w:rFonts w:ascii="Times New Roman" w:hAnsi="Times New Roman" w:cs="Times New Roman"/>
          <w:b/>
          <w:bCs/>
          <w:sz w:val="22"/>
          <w:szCs w:val="22"/>
        </w:rPr>
        <w:t> </w:t>
      </w:r>
    </w:p>
    <w:p w14:paraId="39938A5E" w14:textId="385A7EEE" w:rsidR="00EC7D63" w:rsidRPr="000378E8" w:rsidRDefault="003E1155">
      <w:pPr>
        <w:pStyle w:val="QHx2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ARRÊTE :</w:t>
      </w:r>
      <w:r w:rsidRPr="000378E8">
        <w:rPr>
          <w:rFonts w:ascii="Times New Roman" w:hAnsi="Times New Roman" w:cs="Times New Roman"/>
          <w:b/>
          <w:bCs/>
          <w:sz w:val="22"/>
          <w:szCs w:val="22"/>
        </w:rPr>
        <w:t> </w:t>
      </w:r>
    </w:p>
    <w:p w14:paraId="0A1DD4DF" w14:textId="02C432ED"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1 </w:t>
      </w:r>
      <w:r w:rsidRPr="005C6946">
        <w:rPr>
          <w:rFonts w:ascii="Times New Roman" w:hAnsi="Times New Roman" w:cs="Times New Roman"/>
          <w:sz w:val="22"/>
          <w:szCs w:val="22"/>
        </w:rPr>
        <w:t>: Dès l’entrée en vigueur de la présente décision au plus tôt le 1er janvier 2026 et pour une période expirant le 31 décembre 2030, il est établi, au profit de la Commune, une redevance sur les translations de corps et d'urnes aux cimetières communaux. </w:t>
      </w:r>
    </w:p>
    <w:p w14:paraId="77635A25" w14:textId="3BE265FF" w:rsidR="00EC7D63" w:rsidRPr="000378E8" w:rsidRDefault="003E1155">
      <w:pPr>
        <w:pStyle w:val="QHx2pod"/>
        <w:rPr>
          <w:rFonts w:ascii="Times New Roman" w:hAnsi="Times New Roman" w:cs="Times New Roman"/>
          <w:b/>
          <w:bCs/>
          <w:sz w:val="22"/>
          <w:szCs w:val="22"/>
        </w:rPr>
      </w:pPr>
      <w:r w:rsidRPr="005C6946">
        <w:rPr>
          <w:rStyle w:val="QHx8pod"/>
          <w:rFonts w:ascii="Times New Roman" w:hAnsi="Times New Roman" w:cs="Times New Roman"/>
          <w:sz w:val="22"/>
          <w:szCs w:val="22"/>
        </w:rPr>
        <w:t>Article 2 </w:t>
      </w:r>
      <w:r w:rsidRPr="005C6946">
        <w:rPr>
          <w:rFonts w:ascii="Times New Roman" w:hAnsi="Times New Roman" w:cs="Times New Roman"/>
          <w:sz w:val="22"/>
          <w:szCs w:val="22"/>
        </w:rPr>
        <w:t>: La redevance est due par la personne qui sollicite la translation de corps ou d'urne, et est fixée, par translation de caveau privé à caveau privé à : </w:t>
      </w:r>
      <w:r w:rsidRPr="000378E8">
        <w:rPr>
          <w:rStyle w:val="QHx4pod"/>
          <w:rFonts w:ascii="Times New Roman" w:hAnsi="Times New Roman" w:cs="Times New Roman"/>
          <w:b w:val="0"/>
          <w:bCs/>
          <w:sz w:val="22"/>
          <w:szCs w:val="22"/>
        </w:rPr>
        <w:t>185 €uros par translation.</w:t>
      </w:r>
      <w:r w:rsidRPr="000378E8">
        <w:rPr>
          <w:rFonts w:ascii="Times New Roman" w:hAnsi="Times New Roman" w:cs="Times New Roman"/>
          <w:b/>
          <w:bCs/>
          <w:sz w:val="22"/>
          <w:szCs w:val="22"/>
        </w:rPr>
        <w:t> </w:t>
      </w:r>
    </w:p>
    <w:p w14:paraId="6F61E464" w14:textId="776FAE71"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3</w:t>
      </w:r>
      <w:r w:rsidRPr="005C6946">
        <w:rPr>
          <w:rFonts w:ascii="Times New Roman" w:hAnsi="Times New Roman" w:cs="Times New Roman"/>
          <w:sz w:val="22"/>
          <w:szCs w:val="22"/>
        </w:rPr>
        <w:t> : La redevance doit être consignée lors de la demande du permis de translation de corps et d'urnes, entre les mains du préposé de l’Administration Communale qui en délivrera quittance. </w:t>
      </w:r>
    </w:p>
    <w:p w14:paraId="6ECA3B42" w14:textId="12842ED9"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4 </w:t>
      </w:r>
      <w:r w:rsidRPr="005C6946">
        <w:rPr>
          <w:rFonts w:ascii="Times New Roman" w:hAnsi="Times New Roman" w:cs="Times New Roman"/>
          <w:sz w:val="22"/>
          <w:szCs w:val="22"/>
        </w:rPr>
        <w:t>: À défaut de paiement à l’amiable, le recouvrement de la redevance s’effectue conformément aux dispositions de l’article L1124-40 §1er 1° du Code de la Démocratie locale et de la Décentralisation, tel que modifié par le Décret du 18 avril 2013. </w:t>
      </w:r>
    </w:p>
    <w:p w14:paraId="2803F87E" w14:textId="7405EFCE"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5 </w:t>
      </w:r>
      <w:r w:rsidRPr="005C6946">
        <w:rPr>
          <w:rFonts w:ascii="Times New Roman" w:hAnsi="Times New Roman" w:cs="Times New Roman"/>
          <w:sz w:val="22"/>
          <w:szCs w:val="22"/>
        </w:rPr>
        <w:t>: La présente délibération sera publiée conformément aux articles L1133-1 et L1133-2 du Code de la Démocratie Locale et de la Décentralisation. </w:t>
      </w:r>
    </w:p>
    <w:p w14:paraId="07D1D731" w14:textId="22CD9BC9" w:rsidR="00EC7D63" w:rsidRPr="005C6946" w:rsidRDefault="003E1155" w:rsidP="000378E8">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6</w:t>
      </w:r>
      <w:r w:rsidRPr="005C6946">
        <w:rPr>
          <w:rFonts w:ascii="Times New Roman" w:hAnsi="Times New Roman" w:cs="Times New Roman"/>
          <w:sz w:val="22"/>
          <w:szCs w:val="22"/>
        </w:rPr>
        <w:t> : La présente délibération sera transmise au Gouvernement Wallon conformément aux articles L3131-1 et suivants dans le cadre de la tutelle spéciale d’approbation.</w:t>
      </w:r>
    </w:p>
    <w:p w14:paraId="1839290D" w14:textId="77777777" w:rsidR="00EC7D63" w:rsidRPr="005C6946" w:rsidRDefault="00EC7D63">
      <w:pPr>
        <w:pStyle w:val="Titre2"/>
        <w:tabs>
          <w:tab w:val="left" w:pos="1020"/>
        </w:tabs>
        <w:spacing w:before="0" w:after="0"/>
        <w:ind w:left="510" w:hanging="510"/>
        <w:jc w:val="both"/>
        <w:rPr>
          <w:rFonts w:cs="Times New Roman"/>
          <w:color w:val="000000"/>
          <w:szCs w:val="22"/>
          <w:u w:val="none"/>
        </w:rPr>
      </w:pPr>
    </w:p>
    <w:p w14:paraId="63E89EAE"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6E1C5392" w14:textId="77777777" w:rsidR="00EC7D63" w:rsidRPr="005C6946" w:rsidRDefault="003E1155">
      <w:pPr>
        <w:pStyle w:val="Titre2"/>
        <w:tabs>
          <w:tab w:val="left" w:pos="1020"/>
        </w:tabs>
        <w:spacing w:before="0" w:after="113"/>
        <w:ind w:left="510" w:hanging="510"/>
        <w:jc w:val="both"/>
        <w:rPr>
          <w:rFonts w:cs="Times New Roman"/>
          <w:szCs w:val="22"/>
        </w:rPr>
      </w:pPr>
      <w:bookmarkStart w:id="7" w:name="__RefHeading___Toc1768_34993492367"/>
      <w:bookmarkEnd w:id="7"/>
      <w:r w:rsidRPr="005C6946">
        <w:rPr>
          <w:rFonts w:cs="Times New Roman"/>
          <w:color w:val="000000"/>
          <w:szCs w:val="22"/>
          <w:u w:val="none"/>
        </w:rPr>
        <w:t>8.</w:t>
      </w:r>
      <w:r w:rsidRPr="005C6946">
        <w:rPr>
          <w:rFonts w:cs="Times New Roman"/>
          <w:color w:val="000000"/>
          <w:szCs w:val="22"/>
          <w:u w:val="none"/>
        </w:rPr>
        <w:tab/>
      </w:r>
      <w:r w:rsidRPr="005C6946">
        <w:rPr>
          <w:rFonts w:cs="Times New Roman"/>
          <w:caps/>
          <w:color w:val="000000"/>
          <w:szCs w:val="22"/>
        </w:rPr>
        <w:t>CIMETIÈRES DE REMICOURT - REDEVANCE SUR LES CONCESSIONS PLEINE TERRE ET CONCESSIONS AVEC CAVEAUX - EXERCICES 2026 À 2030.</w:t>
      </w:r>
    </w:p>
    <w:p w14:paraId="4FBF0A7D"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446D1425" w14:textId="44DE41DD"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Revu sa délibération du 30 mars 2017 fixant le prix des caveaux préfabriqués ; </w:t>
      </w:r>
    </w:p>
    <w:p w14:paraId="58808896" w14:textId="1D919EF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Revu sa délibération relative à l’achat de caveaux préfabriqués, en date du 08 novembre 2016 ; </w:t>
      </w:r>
    </w:p>
    <w:p w14:paraId="1137FDD8" w14:textId="768B4D5A"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Revu sa délibération du 16 janvier 2017 relative à l’achat de columbarium enfants ainsi qu’un « champignon funéraire » destiné à la parcelle des étoiles ; </w:t>
      </w:r>
    </w:p>
    <w:p w14:paraId="49A3DE46" w14:textId="592372AD"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Revu sa délibération du 28 octobre 2021 relative à la redevance sur les concessions pleine terre et concessions avec caveaux ; </w:t>
      </w:r>
    </w:p>
    <w:p w14:paraId="5980C0ED" w14:textId="3FF32FCA"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Revu sa délibération du 03 février 2022 relative à l’achat de caveau enfant et de cavotin destiné à la parcelle des étoiles ; </w:t>
      </w:r>
    </w:p>
    <w:p w14:paraId="3D89D04F" w14:textId="6F7D2329"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Code de la Démocratie Locale et de la Décentralisation en ses articles L1232-1, L1232-9, L1232-8, L1232-7, L1232-12 et suivants relatifs aux funérailles et sépultures imposant de nouvelles charges aux communes ; </w:t>
      </w:r>
    </w:p>
    <w:p w14:paraId="5B4313B8" w14:textId="2EBAC06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décret du 06/03/2009 relatif aux funérailles et sépultures ; </w:t>
      </w:r>
    </w:p>
    <w:p w14:paraId="559D0F12" w14:textId="4D72ECAE"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Attendu qu’il convient de répartir le coût des caveaux 2-3-4-6 places, caves urnes, columbarium et plaquettes nominatives des pelouses de dispersion d’après le prix de revient et le coût des charges nouvelles imposées aux communes ; </w:t>
      </w:r>
    </w:p>
    <w:p w14:paraId="1A99CD2C" w14:textId="4CEEA5D4"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Attendu le coût de fabrication des caveaux et autres sépultures ainsi que le coût de transport ; </w:t>
      </w:r>
    </w:p>
    <w:p w14:paraId="342F0892" w14:textId="7A5C8EF4" w:rsidR="00EC7D63" w:rsidRPr="005C6946" w:rsidRDefault="003E1155">
      <w:pPr>
        <w:rPr>
          <w:rFonts w:ascii="Times New Roman" w:hAnsi="Times New Roman" w:cs="Times New Roman"/>
          <w:sz w:val="22"/>
          <w:szCs w:val="22"/>
        </w:rPr>
      </w:pPr>
      <w:r w:rsidRPr="005C6946">
        <w:rPr>
          <w:rFonts w:ascii="Times New Roman" w:hAnsi="Times New Roman" w:cs="Times New Roman"/>
          <w:sz w:val="22"/>
          <w:szCs w:val="22"/>
        </w:rPr>
        <w:t>Considérant qu’en application de l’article L1124-40 §1, 3° du CDLD, l’avis du Receveur régional a été demandé en date du 16 septembre 2025 ; </w:t>
      </w:r>
    </w:p>
    <w:p w14:paraId="4529C6D8" w14:textId="4BE517C8" w:rsidR="00EC7D63" w:rsidRPr="005C6946" w:rsidRDefault="003E1155" w:rsidP="000378E8">
      <w:pPr>
        <w:rPr>
          <w:rFonts w:ascii="Times New Roman" w:hAnsi="Times New Roman" w:cs="Times New Roman"/>
          <w:sz w:val="22"/>
          <w:szCs w:val="22"/>
        </w:rPr>
      </w:pPr>
      <w:r w:rsidRPr="005C6946">
        <w:rPr>
          <w:rFonts w:ascii="Times New Roman" w:hAnsi="Times New Roman" w:cs="Times New Roman"/>
          <w:sz w:val="22"/>
          <w:szCs w:val="22"/>
        </w:rPr>
        <w:t>Vu l’avis favorable rendu par le Receveur régional en date du 23 septembre 2025 et joint en annexe ; </w:t>
      </w:r>
    </w:p>
    <w:p w14:paraId="123D5A71" w14:textId="2ECE3849"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Par ces motifs ; </w:t>
      </w:r>
    </w:p>
    <w:p w14:paraId="1D581EAF" w14:textId="3852203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Après en avoir délibéré ; </w:t>
      </w:r>
    </w:p>
    <w:p w14:paraId="3D1A8457" w14:textId="41A998D8" w:rsidR="00EC7D63" w:rsidRPr="000378E8" w:rsidRDefault="003E1155">
      <w:pPr>
        <w:pStyle w:val="QHx2pod"/>
        <w:rPr>
          <w:rFonts w:ascii="Times New Roman" w:hAnsi="Times New Roman" w:cs="Times New Roman"/>
          <w:b/>
          <w:bCs/>
          <w:sz w:val="22"/>
          <w:szCs w:val="22"/>
        </w:rPr>
      </w:pPr>
      <w:r w:rsidRPr="000378E8">
        <w:rPr>
          <w:rStyle w:val="QHx4pod"/>
          <w:rFonts w:ascii="Times New Roman" w:hAnsi="Times New Roman" w:cs="Times New Roman"/>
          <w:b w:val="0"/>
          <w:bCs/>
          <w:sz w:val="22"/>
          <w:szCs w:val="22"/>
        </w:rPr>
        <w:t>À l'unanimité,</w:t>
      </w:r>
      <w:r w:rsidRPr="000378E8">
        <w:rPr>
          <w:rFonts w:ascii="Times New Roman" w:hAnsi="Times New Roman" w:cs="Times New Roman"/>
          <w:b/>
          <w:bCs/>
          <w:sz w:val="22"/>
          <w:szCs w:val="22"/>
        </w:rPr>
        <w:t> </w:t>
      </w:r>
    </w:p>
    <w:p w14:paraId="51E22017" w14:textId="40219608" w:rsidR="00EC7D63" w:rsidRPr="005C6946" w:rsidRDefault="003E1155">
      <w:pPr>
        <w:pStyle w:val="QHx2pod"/>
        <w:rPr>
          <w:rFonts w:ascii="Times New Roman" w:hAnsi="Times New Roman" w:cs="Times New Roman"/>
          <w:sz w:val="22"/>
          <w:szCs w:val="22"/>
        </w:rPr>
      </w:pPr>
      <w:r w:rsidRPr="000378E8">
        <w:rPr>
          <w:rStyle w:val="QHx4pod"/>
          <w:rFonts w:ascii="Times New Roman" w:hAnsi="Times New Roman" w:cs="Times New Roman"/>
          <w:b w:val="0"/>
          <w:bCs/>
          <w:sz w:val="22"/>
          <w:szCs w:val="22"/>
        </w:rPr>
        <w:t>ARRÊTE</w:t>
      </w:r>
      <w:r w:rsidRPr="005C6946">
        <w:rPr>
          <w:rStyle w:val="QHx4pod"/>
          <w:rFonts w:ascii="Times New Roman" w:hAnsi="Times New Roman" w:cs="Times New Roman"/>
          <w:sz w:val="22"/>
          <w:szCs w:val="22"/>
        </w:rPr>
        <w:t>, </w:t>
      </w:r>
      <w:r w:rsidRPr="005C6946">
        <w:rPr>
          <w:rFonts w:ascii="Times New Roman" w:hAnsi="Times New Roman" w:cs="Times New Roman"/>
          <w:sz w:val="22"/>
          <w:szCs w:val="22"/>
        </w:rPr>
        <w:t>dès l’entrée en vigueur de la présente décision au plus tôt le 1er janvier 2026 et pour une période expirant le 31 décembre 2030, au profit de la Commune, que : </w:t>
      </w:r>
    </w:p>
    <w:p w14:paraId="6AF5E8BF"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1 </w:t>
      </w:r>
      <w:r w:rsidRPr="005C6946">
        <w:rPr>
          <w:rFonts w:ascii="Times New Roman" w:hAnsi="Times New Roman" w:cs="Times New Roman"/>
          <w:sz w:val="22"/>
          <w:szCs w:val="22"/>
        </w:rPr>
        <w:t>: Les redevances à payer sur les concessions temporaires en pleine terre dans les cimetières sont fixées comme suit : 250 €uros/m² pour les résidents et 750 €uros/m² pour les non-résidents.</w:t>
      </w:r>
    </w:p>
    <w:p w14:paraId="42F2E329" w14:textId="6385899F"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Ne sont pas considérées comme non-résidents les personnes décédées en maison de repos hors territoire communal pour autant que celles-ci aient été domiciliées sur le territoire de la Commune de Remicourt, pendant un minimum de 5 ans précédent la période d'entrée en maison de repos. </w:t>
      </w:r>
    </w:p>
    <w:p w14:paraId="7B017F52"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2 </w:t>
      </w:r>
      <w:r w:rsidRPr="005C6946">
        <w:rPr>
          <w:rFonts w:ascii="Times New Roman" w:hAnsi="Times New Roman" w:cs="Times New Roman"/>
          <w:sz w:val="22"/>
          <w:szCs w:val="22"/>
        </w:rPr>
        <w:t>: Les concessions avec caveaux préfabriqués sont aux prix suivants :</w:t>
      </w:r>
    </w:p>
    <w:p w14:paraId="037E6E6B"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1 Caveau de 2 places : 1.250 -€uros</w:t>
      </w:r>
    </w:p>
    <w:p w14:paraId="245EBBA4"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1 Caveau de 3 places : 1.750 €uros</w:t>
      </w:r>
    </w:p>
    <w:p w14:paraId="615141F7"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1 Caveau de 4 places : 2.000 -€uros</w:t>
      </w:r>
    </w:p>
    <w:p w14:paraId="055C9433"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1 Caveau de 6 places : 2.800 -€uros</w:t>
      </w:r>
    </w:p>
    <w:p w14:paraId="4BAE187B"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Les caveaux enfants et les cavotins placés dans la parcelle des étoiles (champignon funéraire) ne sont pas soumis à la redevance.</w:t>
      </w:r>
    </w:p>
    <w:p w14:paraId="7706D5CB" w14:textId="14FD750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La redevance de 750 €uros/m² est applicable pour les non-résidents en plus du prix du caveau. </w:t>
      </w:r>
    </w:p>
    <w:p w14:paraId="5C44D63D"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3 </w:t>
      </w:r>
      <w:r w:rsidRPr="005C6946">
        <w:rPr>
          <w:rFonts w:ascii="Times New Roman" w:hAnsi="Times New Roman" w:cs="Times New Roman"/>
          <w:sz w:val="22"/>
          <w:szCs w:val="22"/>
        </w:rPr>
        <w:t>: </w:t>
      </w:r>
    </w:p>
    <w:p w14:paraId="57DBC7FD"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1 Cave urne : 700 -€uros pour un résident/ 1.050 -€uros pour un non-résident</w:t>
      </w:r>
    </w:p>
    <w:p w14:paraId="259408FB"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1 Columbarium : 500 -€uros pour un résident/ 850 -€uros pour un non-résident</w:t>
      </w:r>
    </w:p>
    <w:p w14:paraId="3B295761"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1 Plaquette nominative de pelouse de dispersion : 50-€uros</w:t>
      </w:r>
    </w:p>
    <w:p w14:paraId="67E365BC" w14:textId="5A7E4B7A"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1 Plaquette d'identification de tombe : 50 -€uros  </w:t>
      </w:r>
    </w:p>
    <w:p w14:paraId="19C2D20A"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4</w:t>
      </w:r>
      <w:r w:rsidRPr="005C6946">
        <w:rPr>
          <w:rFonts w:ascii="Times New Roman" w:hAnsi="Times New Roman" w:cs="Times New Roman"/>
          <w:sz w:val="22"/>
          <w:szCs w:val="22"/>
        </w:rPr>
        <w:t> : À défaut de paiement à l’amiable, le recouvrement de la redevance s’effectue conformément aux dispositions de l’article L1124-40 §1</w:t>
      </w:r>
      <w:r w:rsidRPr="005C6946">
        <w:rPr>
          <w:rStyle w:val="QHx10pod"/>
          <w:rFonts w:ascii="Times New Roman" w:hAnsi="Times New Roman" w:cs="Times New Roman"/>
          <w:sz w:val="22"/>
          <w:szCs w:val="22"/>
        </w:rPr>
        <w:t>er</w:t>
      </w:r>
      <w:r w:rsidRPr="005C6946">
        <w:rPr>
          <w:rFonts w:ascii="Times New Roman" w:hAnsi="Times New Roman" w:cs="Times New Roman"/>
          <w:sz w:val="22"/>
          <w:szCs w:val="22"/>
        </w:rPr>
        <w:t> 1° du Code de la Démocratie locale et de la Décentralisation, tel que modifié par le Décret du 18 avril 2013.</w:t>
      </w:r>
    </w:p>
    <w:p w14:paraId="62007CF5"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w:t>
      </w:r>
    </w:p>
    <w:p w14:paraId="0968ECBF" w14:textId="5720CF18" w:rsidR="00EC7D63" w:rsidRPr="005C6946" w:rsidRDefault="003E1155" w:rsidP="005B16C5">
      <w:pPr>
        <w:pStyle w:val="QHx2pod"/>
        <w:rPr>
          <w:rFonts w:ascii="Times New Roman" w:hAnsi="Times New Roman" w:cs="Times New Roman"/>
          <w:color w:val="000000"/>
          <w:sz w:val="22"/>
          <w:szCs w:val="22"/>
        </w:rPr>
      </w:pPr>
      <w:r w:rsidRPr="005C6946">
        <w:rPr>
          <w:rStyle w:val="QHx8pod"/>
          <w:rFonts w:ascii="Times New Roman" w:hAnsi="Times New Roman" w:cs="Times New Roman"/>
          <w:sz w:val="22"/>
          <w:szCs w:val="22"/>
        </w:rPr>
        <w:t>Article 5</w:t>
      </w:r>
      <w:r w:rsidRPr="005C6946">
        <w:rPr>
          <w:rFonts w:ascii="Times New Roman" w:hAnsi="Times New Roman" w:cs="Times New Roman"/>
          <w:sz w:val="22"/>
          <w:szCs w:val="22"/>
        </w:rPr>
        <w:t> : La présente délibération sera publiée conformément aux articles L1133-1 et L1133-2 du Code de la Démocratie Locale et de la Décentralisation.</w:t>
      </w:r>
    </w:p>
    <w:p w14:paraId="194F07D2"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07EBD21E" w14:textId="77777777" w:rsidR="00EC7D63" w:rsidRPr="005C6946" w:rsidRDefault="003E1155">
      <w:pPr>
        <w:pStyle w:val="Titre2"/>
        <w:tabs>
          <w:tab w:val="left" w:pos="1020"/>
        </w:tabs>
        <w:spacing w:before="0" w:after="113"/>
        <w:ind w:left="510" w:hanging="510"/>
        <w:jc w:val="both"/>
        <w:rPr>
          <w:rFonts w:cs="Times New Roman"/>
          <w:szCs w:val="22"/>
        </w:rPr>
      </w:pPr>
      <w:bookmarkStart w:id="8" w:name="__RefHeading___Toc1768_34993492368"/>
      <w:bookmarkEnd w:id="8"/>
      <w:r w:rsidRPr="005C6946">
        <w:rPr>
          <w:rFonts w:cs="Times New Roman"/>
          <w:color w:val="000000"/>
          <w:szCs w:val="22"/>
          <w:u w:val="none"/>
        </w:rPr>
        <w:t>9.</w:t>
      </w:r>
      <w:r w:rsidRPr="005C6946">
        <w:rPr>
          <w:rFonts w:cs="Times New Roman"/>
          <w:color w:val="000000"/>
          <w:szCs w:val="22"/>
          <w:u w:val="none"/>
        </w:rPr>
        <w:tab/>
      </w:r>
      <w:r w:rsidRPr="005C6946">
        <w:rPr>
          <w:rFonts w:cs="Times New Roman"/>
          <w:caps/>
          <w:color w:val="000000"/>
          <w:szCs w:val="22"/>
        </w:rPr>
        <w:t>RÈGLEMENT-REDEVANCE RELATIF À L'ENREGISTREMENT D'UNE DEMANDE DE CHANGEMENT DE PRÉNOM - EXERCICES 2026 À 2030.</w:t>
      </w:r>
    </w:p>
    <w:p w14:paraId="7CE87FAB"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2BEB4797" w14:textId="20B5C03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Constitution, notamment son article 173 ; </w:t>
      </w:r>
    </w:p>
    <w:p w14:paraId="606130F6" w14:textId="779C8294"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Code de la Démocratie Locale et de la Décentralisation, l'article L1122-30 ; </w:t>
      </w:r>
    </w:p>
    <w:p w14:paraId="1999F31A" w14:textId="4A4A5E3A"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lastRenderedPageBreak/>
        <w:t>Vu le décret du 14 décembre 2000 (M.B. 18.1.2001) et la loi du 24 juin 2000 (M.B. 23.9.2004, éd. 2) portant assentiment de la Charte européenne de l’autonomie locale, notamment l’article 9.1. de la Charte ; </w:t>
      </w:r>
    </w:p>
    <w:p w14:paraId="77B1DF86" w14:textId="220DB7A8"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loi du 18 juin 2018 (MB du 02/07/2018) portant dispositions diverses en matière de droit civil et des dispositions en vue de promouvoir des formes alternatives de résolution de litiges ; </w:t>
      </w:r>
    </w:p>
    <w:p w14:paraId="0876B8E4" w14:textId="034B60AE"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circulaire du 11 juillet 2018 (M.B. 18/07/2018) relative à la loi du 18 juin 2018 portant dispositions diverses en matière de droit civil et des dispositions en vue de promouvoir des formes alternatives de résolution de litiges en ce qu’elle transfère la compétence en matière de changement de prénoms aux officiers de l’état civil et en règle les conditions de procédure ; </w:t>
      </w:r>
    </w:p>
    <w:p w14:paraId="05830498" w14:textId="7DC8B2F9"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 la commune doit pouvoir se doter des moyens financiers nécessaires à l’exercice de ses missions ; </w:t>
      </w:r>
    </w:p>
    <w:p w14:paraId="4635261C" w14:textId="1786EA68"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communication du dossier au directeur financier faite en date du 16 septembre 2025 conformément à l’article L1124-40 §1,3°et 4° du Code de la Démocratie Locale et de la Décentralisation ; </w:t>
      </w:r>
    </w:p>
    <w:p w14:paraId="2FCC6B62" w14:textId="2DDB4A3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l’avis favorable rendu par le Directeur financier en date du 23 septembre 2025 et joint en annexe ; </w:t>
      </w:r>
    </w:p>
    <w:p w14:paraId="4F477553" w14:textId="50BAB675"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Sur proposition du Collège communal ; </w:t>
      </w:r>
    </w:p>
    <w:p w14:paraId="02F8BE51" w14:textId="25F6933A"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Après en avoir délibéré ; </w:t>
      </w:r>
    </w:p>
    <w:p w14:paraId="5CFCCD91" w14:textId="7F7AE10C" w:rsidR="00EC7D63" w:rsidRPr="005B16C5" w:rsidRDefault="003E1155">
      <w:pPr>
        <w:pStyle w:val="QHx2pod"/>
        <w:rPr>
          <w:rFonts w:ascii="Times New Roman" w:hAnsi="Times New Roman" w:cs="Times New Roman"/>
          <w:b/>
          <w:bCs/>
          <w:sz w:val="22"/>
          <w:szCs w:val="22"/>
        </w:rPr>
      </w:pPr>
      <w:r w:rsidRPr="005B16C5">
        <w:rPr>
          <w:rStyle w:val="QHx4pod"/>
          <w:rFonts w:ascii="Times New Roman" w:hAnsi="Times New Roman" w:cs="Times New Roman"/>
          <w:b w:val="0"/>
          <w:bCs/>
          <w:sz w:val="22"/>
          <w:szCs w:val="22"/>
        </w:rPr>
        <w:t>À l'unanimité,</w:t>
      </w:r>
      <w:r w:rsidRPr="005B16C5">
        <w:rPr>
          <w:rFonts w:ascii="Times New Roman" w:hAnsi="Times New Roman" w:cs="Times New Roman"/>
          <w:b/>
          <w:bCs/>
          <w:sz w:val="22"/>
          <w:szCs w:val="22"/>
        </w:rPr>
        <w:t> </w:t>
      </w:r>
    </w:p>
    <w:p w14:paraId="347AF03A" w14:textId="2818866B" w:rsidR="00EC7D63" w:rsidRPr="005B16C5" w:rsidRDefault="003E1155">
      <w:pPr>
        <w:pStyle w:val="QHx2pod"/>
        <w:rPr>
          <w:rFonts w:ascii="Times New Roman" w:hAnsi="Times New Roman" w:cs="Times New Roman"/>
          <w:b/>
          <w:bCs/>
          <w:sz w:val="22"/>
          <w:szCs w:val="22"/>
        </w:rPr>
      </w:pPr>
      <w:r w:rsidRPr="005B16C5">
        <w:rPr>
          <w:rStyle w:val="QHx4pod"/>
          <w:rFonts w:ascii="Times New Roman" w:hAnsi="Times New Roman" w:cs="Times New Roman"/>
          <w:b w:val="0"/>
          <w:bCs/>
          <w:sz w:val="22"/>
          <w:szCs w:val="22"/>
        </w:rPr>
        <w:t>ARRÊTE :</w:t>
      </w:r>
      <w:r w:rsidRPr="005B16C5">
        <w:rPr>
          <w:rFonts w:ascii="Times New Roman" w:hAnsi="Times New Roman" w:cs="Times New Roman"/>
          <w:b/>
          <w:bCs/>
          <w:sz w:val="22"/>
          <w:szCs w:val="22"/>
        </w:rPr>
        <w:t> </w:t>
      </w:r>
    </w:p>
    <w:p w14:paraId="6B5EA46E"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1 :</w:t>
      </w:r>
    </w:p>
    <w:p w14:paraId="28D6F51E"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Il est établi, pour les exercices 2026 à 2030, une redevance communale pour l'enregistrement d'une demande de changement de prénom.</w:t>
      </w:r>
    </w:p>
    <w:p w14:paraId="0DAFAD11" w14:textId="4FE9707E"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La présente décision entrera en vigueur après accomplissement des formalités de la publication faites conformément aux articles L1133-1 et L1133-2 du Code de la Démocratie Locale et de la Décentralisation, au plus tôt le 1er janvier 2026 et pour une période expirant le 31 décembre 2030, au profit de la Commune. </w:t>
      </w:r>
    </w:p>
    <w:p w14:paraId="278F1701"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2 :</w:t>
      </w:r>
    </w:p>
    <w:p w14:paraId="37EE1967" w14:textId="498D5F6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La redevance est due par toute personne sollicitant l'enregistrement d'une demande de changement de prénom. </w:t>
      </w:r>
    </w:p>
    <w:p w14:paraId="44514A67" w14:textId="77777777" w:rsidR="00EC7D63" w:rsidRPr="005C6946" w:rsidRDefault="003E1155">
      <w:pPr>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3 </w:t>
      </w:r>
      <w:r w:rsidRPr="005C6946">
        <w:rPr>
          <w:rFonts w:ascii="Times New Roman" w:hAnsi="Times New Roman" w:cs="Times New Roman"/>
          <w:sz w:val="22"/>
          <w:szCs w:val="22"/>
        </w:rPr>
        <w:t>: Taux</w:t>
      </w:r>
    </w:p>
    <w:p w14:paraId="02A8ABAC" w14:textId="4F91ACC9"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xml:space="preserve">La redevance est fixée à </w:t>
      </w:r>
      <w:r w:rsidRPr="005B16C5">
        <w:rPr>
          <w:rStyle w:val="QHx4pod"/>
          <w:rFonts w:ascii="Times New Roman" w:hAnsi="Times New Roman" w:cs="Times New Roman"/>
          <w:b w:val="0"/>
          <w:bCs/>
          <w:sz w:val="22"/>
          <w:szCs w:val="22"/>
        </w:rPr>
        <w:t>300 €</w:t>
      </w:r>
      <w:r w:rsidRPr="005C6946">
        <w:rPr>
          <w:rFonts w:ascii="Times New Roman" w:hAnsi="Times New Roman" w:cs="Times New Roman"/>
          <w:sz w:val="22"/>
          <w:szCs w:val="22"/>
        </w:rPr>
        <w:t xml:space="preserve"> par demande de changement de prénom et à </w:t>
      </w:r>
      <w:r w:rsidRPr="005B16C5">
        <w:rPr>
          <w:rStyle w:val="QHx4pod"/>
          <w:rFonts w:ascii="Times New Roman" w:hAnsi="Times New Roman" w:cs="Times New Roman"/>
          <w:b w:val="0"/>
          <w:bCs/>
          <w:sz w:val="22"/>
          <w:szCs w:val="22"/>
        </w:rPr>
        <w:t>50 €</w:t>
      </w:r>
      <w:r w:rsidRPr="005C6946">
        <w:rPr>
          <w:rFonts w:ascii="Times New Roman" w:hAnsi="Times New Roman" w:cs="Times New Roman"/>
          <w:sz w:val="22"/>
          <w:szCs w:val="22"/>
        </w:rPr>
        <w:t xml:space="preserve"> s’il s’agit uniquement de modifier (par) un tiret. </w:t>
      </w:r>
    </w:p>
    <w:p w14:paraId="606FDFCC" w14:textId="229E87F8"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Une demande de changement de prénom(s) est soit la modification d’un ou de plusieurs prénom(s) déjà attribué(s) au citoyen par son acte de naissance, soit le changement complet d’un ou de plusieurs prénom(s) déjà attribué(s) au citoyen par son acte de naissance. </w:t>
      </w:r>
    </w:p>
    <w:p w14:paraId="3EE984E7"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 xml:space="preserve">Article 4 </w:t>
      </w:r>
      <w:r w:rsidRPr="005C6946">
        <w:rPr>
          <w:rFonts w:ascii="Times New Roman" w:hAnsi="Times New Roman" w:cs="Times New Roman"/>
          <w:sz w:val="22"/>
          <w:szCs w:val="22"/>
        </w:rPr>
        <w:t>: Exonération</w:t>
      </w:r>
    </w:p>
    <w:p w14:paraId="1F9C6C0F"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Conformément aux articles 11 bis, §3, alinéa 3. 15, § 1er, alinéa 5, et 21, § 2, alinéa 2, du Code de la nationalité belge, les personnes de nationalité étrangère qui ont formulé une demande d'acquisition de la nationalité belge et qui sont dénuées de prénom(s) lors de la demande d'adjonction de prénom(s) sont exemptées de toute redevance afin d'y remédier.</w:t>
      </w:r>
    </w:p>
    <w:p w14:paraId="0C0B09C3" w14:textId="36D2EC9E"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Les demandes de changement de prénoms si le prénom est ridicule ou odieux (en lui-même ou par association avec le nom de famille), sont exonérés de la redevance communale. </w:t>
      </w:r>
    </w:p>
    <w:p w14:paraId="1E822734"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5</w:t>
      </w:r>
      <w:r w:rsidRPr="005C6946">
        <w:rPr>
          <w:rFonts w:ascii="Times New Roman" w:hAnsi="Times New Roman" w:cs="Times New Roman"/>
          <w:sz w:val="22"/>
          <w:szCs w:val="22"/>
        </w:rPr>
        <w:t xml:space="preserve"> : Modalités de paiement</w:t>
      </w:r>
    </w:p>
    <w:p w14:paraId="21C33B3C" w14:textId="54CC33BA"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La redevance est payable au comptant contre la délivrance d’une preuve de paiement au moment de la demande de changement de prénom.   </w:t>
      </w:r>
    </w:p>
    <w:p w14:paraId="59C42ECF"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6 </w:t>
      </w:r>
      <w:r w:rsidRPr="005C6946">
        <w:rPr>
          <w:rFonts w:ascii="Times New Roman" w:hAnsi="Times New Roman" w:cs="Times New Roman"/>
          <w:sz w:val="22"/>
          <w:szCs w:val="22"/>
        </w:rPr>
        <w:t>:</w:t>
      </w:r>
    </w:p>
    <w:p w14:paraId="5644AD04"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À défaut de paiement de la redevance dans le délai prescrit, dans le cadre du recouvrement amiable, un rappel par envoi simple sera envoyé au redevable. Le montant de ce rappel est fixé à 5 € et est mis à charge du redevable.</w:t>
      </w:r>
    </w:p>
    <w:p w14:paraId="23AE48EC"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À l’issue de ce rappel, en cas de non-paiement dans les 15 jours, conformément à l’article L1124-40 du CDLD, le débiteur sera mis en demeure par courrier recommandé. Les frais administratifs inhérents à cet envoi seront mis à charge du redevable et s’élèveront à 10 €. Ce montant sera ajouté au principal sur le document de rappel.</w:t>
      </w:r>
    </w:p>
    <w:p w14:paraId="703050BC"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Pour autant que la créance soit certaine, liquide et exigible, et qu’il ne s’agisse pas de dettes des personnes de droit public, le Directeur Financier envoie une contrainte visée et rendue exécutoire par le Collège communal et signifiée par exploit d’huissier. Cet exploit interrompt la prescription. Un recours peut être introduit dans le mois de la signification par requête ou citation. Les frais administratifs inhérents à ces rappels sont recouvrés par la même contrainte.</w:t>
      </w:r>
    </w:p>
    <w:p w14:paraId="059637F2" w14:textId="38E9479A"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En cas d’inapplicabilité de l’article L1124-40 du CDLD, le recouvrement s’effectue devant les juridictions civiles compétentes. </w:t>
      </w:r>
    </w:p>
    <w:p w14:paraId="6EECE952"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7 :</w:t>
      </w:r>
    </w:p>
    <w:p w14:paraId="6C36991D" w14:textId="77777777" w:rsidR="005B16C5"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La présente décision entrera en vigueur après accomplissement des formalités de la publication faites conformément aux articles L1133-1 et L1133-2 du Code de la Démocratie Locale et de la Décentralisation, au plus tôt le 1er janvier 2026 et pour une période expirant le 31 décembre 2030, au profit de la Commune.</w:t>
      </w:r>
    </w:p>
    <w:p w14:paraId="6F50C94D" w14:textId="77777777" w:rsidR="005B16C5" w:rsidRDefault="005B16C5">
      <w:pPr>
        <w:pStyle w:val="QHx2pod"/>
        <w:rPr>
          <w:rFonts w:ascii="Times New Roman" w:hAnsi="Times New Roman" w:cs="Times New Roman"/>
          <w:sz w:val="22"/>
          <w:szCs w:val="22"/>
        </w:rPr>
      </w:pPr>
    </w:p>
    <w:p w14:paraId="0A26A4B3" w14:textId="059CE6D9"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w:t>
      </w:r>
    </w:p>
    <w:p w14:paraId="07890EE5"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lastRenderedPageBreak/>
        <w:t>Article 8 :</w:t>
      </w:r>
    </w:p>
    <w:p w14:paraId="162A72E6" w14:textId="401E78BC" w:rsidR="00EC7D63" w:rsidRPr="005C6946" w:rsidRDefault="003E1155" w:rsidP="005B16C5">
      <w:pPr>
        <w:pStyle w:val="QHx2pod"/>
        <w:rPr>
          <w:rFonts w:ascii="Times New Roman" w:hAnsi="Times New Roman" w:cs="Times New Roman"/>
          <w:color w:val="000000"/>
          <w:sz w:val="22"/>
          <w:szCs w:val="22"/>
        </w:rPr>
      </w:pPr>
      <w:r w:rsidRPr="005C6946">
        <w:rPr>
          <w:rFonts w:ascii="Times New Roman" w:hAnsi="Times New Roman" w:cs="Times New Roman"/>
          <w:sz w:val="22"/>
          <w:szCs w:val="22"/>
        </w:rPr>
        <w:t>Le présent règlement sera transmis au Gouvernement wallon conformément aux articles L3131-1 et suivants du Code de la Démocratie Locale et de la Décentralisation dans le cadre de la tutelle spéciale d’approbation et au Directeur Financier.  </w:t>
      </w:r>
    </w:p>
    <w:p w14:paraId="758697E0"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477D60AA" w14:textId="77777777" w:rsidR="00EC7D63" w:rsidRPr="00C5576E" w:rsidRDefault="003E1155">
      <w:pPr>
        <w:pStyle w:val="Titre2"/>
        <w:tabs>
          <w:tab w:val="left" w:pos="1020"/>
        </w:tabs>
        <w:spacing w:before="0" w:after="113"/>
        <w:ind w:left="510" w:hanging="510"/>
        <w:jc w:val="both"/>
        <w:rPr>
          <w:rFonts w:cs="Times New Roman"/>
          <w:strike/>
          <w:szCs w:val="22"/>
        </w:rPr>
      </w:pPr>
      <w:bookmarkStart w:id="9" w:name="__RefHeading___Toc1768_34993492369"/>
      <w:bookmarkEnd w:id="9"/>
      <w:r w:rsidRPr="005C6946">
        <w:rPr>
          <w:rFonts w:cs="Times New Roman"/>
          <w:color w:val="000000"/>
          <w:szCs w:val="22"/>
          <w:u w:val="none"/>
        </w:rPr>
        <w:t>10.</w:t>
      </w:r>
      <w:r w:rsidRPr="005C6946">
        <w:rPr>
          <w:rFonts w:cs="Times New Roman"/>
          <w:color w:val="000000"/>
          <w:szCs w:val="22"/>
          <w:u w:val="none"/>
        </w:rPr>
        <w:tab/>
      </w:r>
      <w:r w:rsidRPr="00C5576E">
        <w:rPr>
          <w:rFonts w:cs="Times New Roman"/>
          <w:caps/>
          <w:strike/>
          <w:color w:val="000000"/>
          <w:szCs w:val="22"/>
        </w:rPr>
        <w:t>REDEVANCE SUR LA DEMANDE DE CHANGEMENT DE NOM - ADOPTION - EXERCICES 2026 À 2030.</w:t>
      </w:r>
    </w:p>
    <w:p w14:paraId="2FF23000" w14:textId="77777777" w:rsidR="00EC7D63" w:rsidRPr="00C5576E" w:rsidRDefault="003E1155">
      <w:pPr>
        <w:pStyle w:val="Corpsdetexte"/>
        <w:spacing w:after="0"/>
        <w:rPr>
          <w:rFonts w:ascii="Times New Roman" w:hAnsi="Times New Roman" w:cs="Times New Roman"/>
          <w:strike/>
          <w:sz w:val="22"/>
          <w:szCs w:val="22"/>
        </w:rPr>
      </w:pPr>
      <w:r w:rsidRPr="00C5576E">
        <w:rPr>
          <w:rFonts w:ascii="Times New Roman" w:hAnsi="Times New Roman" w:cs="Times New Roman"/>
          <w:strike/>
          <w:sz w:val="22"/>
          <w:szCs w:val="22"/>
        </w:rPr>
        <w:t>Le Conseil communal,</w:t>
      </w:r>
    </w:p>
    <w:p w14:paraId="1A0A2A41" w14:textId="6C0AA4CD"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Vu la Constitution, en particulier ses articles 41, 162 et 170, §4 ; </w:t>
      </w:r>
    </w:p>
    <w:p w14:paraId="114D7BC5" w14:textId="6F614AE0"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Vu la Loi du 15 mai 1987 relative aux noms et prénoms ; </w:t>
      </w:r>
    </w:p>
    <w:p w14:paraId="4E4BAAFA" w14:textId="02825DB4"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Vu la Loi du 7 janvier 2024 modifiant l'ancien Code civil et le Code des droits d'enregistrement, d’hypothèque et de greffe en vue d'assouplir la procédure changement de nom ; </w:t>
      </w:r>
    </w:p>
    <w:p w14:paraId="1F127C43" w14:textId="5E516C46"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Vu la Loi du 13 avril 2019 instituant le Code de recouvrement amiable et forcé des créances fiscales et non fiscales ; </w:t>
      </w:r>
    </w:p>
    <w:p w14:paraId="613BAC38" w14:textId="74B3A7E0"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Vu le Code de la Démocratie locale et de la Décentralisation, ci-après "CDLD" ou "Code", notamment son article L1122-30 ; </w:t>
      </w:r>
    </w:p>
    <w:p w14:paraId="52CFAF01" w14:textId="2B3C232E"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Vu les dispositions légales et règlementaires en vigueur en matière d'établissement et de recouvrement des taxes communales ; </w:t>
      </w:r>
    </w:p>
    <w:p w14:paraId="483BF61D" w14:textId="3D1E5748"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Vu la circulaire du ministre des Pouvoirs locaux et de la Ville du 30 mai 2024 relative à l'élaboration des budgets des communes de la Région wallonne et ses recommandations en matière fiscale ; </w:t>
      </w:r>
    </w:p>
    <w:p w14:paraId="026A50B5" w14:textId="50072824"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Considérant que, contrairement à la procédure de changement de prénom, la loi ne confèrerait aucune habilitation légale au sens de l’article 173 de la Constitution qui prévoit que « [...] hors les provinces, les polders et wateringues et les cas formellement exceptés par la loi, le décret et les règles visées à l'article 134, aucune rétribution ne peut être exigée des citoyens qu'à titre d'impôt au profit de l'État, de la communauté, de la région, de l'agglomération, de la fédération de communes ou de la commune » ; </w:t>
      </w:r>
    </w:p>
    <w:p w14:paraId="74E69A6A" w14:textId="3D9BD5C1"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Considérant que la Commune établit la présente taxe afin de se procurer les moyens financiers nécessaires à l'exercice de ses missions de service public ; </w:t>
      </w:r>
    </w:p>
    <w:p w14:paraId="2C2704F9" w14:textId="1E641D70" w:rsidR="00EC7D63" w:rsidRPr="00C5576E" w:rsidRDefault="003E1155">
      <w:pPr>
        <w:rPr>
          <w:rFonts w:ascii="Times New Roman" w:hAnsi="Times New Roman" w:cs="Times New Roman"/>
          <w:strike/>
          <w:sz w:val="22"/>
          <w:szCs w:val="22"/>
        </w:rPr>
      </w:pPr>
      <w:r w:rsidRPr="00C5576E">
        <w:rPr>
          <w:rFonts w:ascii="Times New Roman" w:hAnsi="Times New Roman" w:cs="Times New Roman"/>
          <w:strike/>
          <w:sz w:val="22"/>
          <w:szCs w:val="22"/>
        </w:rPr>
        <w:t>Considérant la transmission du dossier au Directeur financier pour avis préalable en date du 16 septembre 2025 ; </w:t>
      </w:r>
    </w:p>
    <w:p w14:paraId="60ED54C2" w14:textId="01CA20BE" w:rsidR="00EC7D63" w:rsidRPr="00C5576E" w:rsidRDefault="003E1155">
      <w:pPr>
        <w:rPr>
          <w:rFonts w:ascii="Times New Roman" w:hAnsi="Times New Roman" w:cs="Times New Roman"/>
          <w:strike/>
          <w:sz w:val="22"/>
          <w:szCs w:val="22"/>
        </w:rPr>
      </w:pPr>
      <w:r w:rsidRPr="00C5576E">
        <w:rPr>
          <w:rFonts w:ascii="Times New Roman" w:hAnsi="Times New Roman" w:cs="Times New Roman"/>
          <w:strike/>
          <w:sz w:val="22"/>
          <w:szCs w:val="22"/>
        </w:rPr>
        <w:t>Considérant l'avis favorable du Directeur financier remis en date du 23 septembre 2025 ; </w:t>
      </w:r>
    </w:p>
    <w:p w14:paraId="3096DB03" w14:textId="4256BE57"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Sur proposition du Collège communal ; </w:t>
      </w:r>
    </w:p>
    <w:p w14:paraId="512F24FF" w14:textId="14D0D49F"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Après en avoir délibéré, </w:t>
      </w:r>
    </w:p>
    <w:p w14:paraId="7B5ACEB1" w14:textId="2A79870B" w:rsidR="00EC7D63" w:rsidRPr="00C5576E" w:rsidRDefault="003E1155">
      <w:pPr>
        <w:pStyle w:val="QHx2pod"/>
        <w:rPr>
          <w:rFonts w:ascii="Times New Roman" w:hAnsi="Times New Roman" w:cs="Times New Roman"/>
          <w:b/>
          <w:bCs/>
          <w:strike/>
          <w:sz w:val="22"/>
          <w:szCs w:val="22"/>
        </w:rPr>
      </w:pPr>
      <w:r w:rsidRPr="00C5576E">
        <w:rPr>
          <w:rStyle w:val="QHx4pod"/>
          <w:rFonts w:ascii="Times New Roman" w:hAnsi="Times New Roman" w:cs="Times New Roman"/>
          <w:b w:val="0"/>
          <w:bCs/>
          <w:strike/>
          <w:sz w:val="22"/>
          <w:szCs w:val="22"/>
        </w:rPr>
        <w:t>À l'unanimité ;</w:t>
      </w:r>
      <w:r w:rsidRPr="00C5576E">
        <w:rPr>
          <w:rFonts w:ascii="Times New Roman" w:hAnsi="Times New Roman" w:cs="Times New Roman"/>
          <w:b/>
          <w:bCs/>
          <w:strike/>
          <w:sz w:val="22"/>
          <w:szCs w:val="22"/>
        </w:rPr>
        <w:t> </w:t>
      </w:r>
    </w:p>
    <w:p w14:paraId="6CB61320" w14:textId="133E7C14" w:rsidR="00EC7D63" w:rsidRPr="00C5576E" w:rsidRDefault="003E1155">
      <w:pPr>
        <w:pStyle w:val="QHx2pod"/>
        <w:rPr>
          <w:rFonts w:ascii="Times New Roman" w:hAnsi="Times New Roman" w:cs="Times New Roman"/>
          <w:b/>
          <w:bCs/>
          <w:strike/>
          <w:sz w:val="22"/>
          <w:szCs w:val="22"/>
        </w:rPr>
      </w:pPr>
      <w:r w:rsidRPr="00C5576E">
        <w:rPr>
          <w:rStyle w:val="QHx4pod"/>
          <w:rFonts w:ascii="Times New Roman" w:hAnsi="Times New Roman" w:cs="Times New Roman"/>
          <w:b w:val="0"/>
          <w:bCs/>
          <w:strike/>
          <w:sz w:val="22"/>
          <w:szCs w:val="22"/>
        </w:rPr>
        <w:t>DÉCIDE :</w:t>
      </w:r>
      <w:r w:rsidRPr="00C5576E">
        <w:rPr>
          <w:rFonts w:ascii="Times New Roman" w:hAnsi="Times New Roman" w:cs="Times New Roman"/>
          <w:b/>
          <w:bCs/>
          <w:strike/>
          <w:sz w:val="22"/>
          <w:szCs w:val="22"/>
        </w:rPr>
        <w:t> </w:t>
      </w:r>
    </w:p>
    <w:p w14:paraId="0673FB5A" w14:textId="5F2ABEE4"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t>Article 1</w:t>
      </w:r>
      <w:r w:rsidRPr="00C5576E">
        <w:rPr>
          <w:rStyle w:val="QHx10pod"/>
          <w:rFonts w:ascii="Times New Roman" w:hAnsi="Times New Roman" w:cs="Times New Roman"/>
          <w:strike/>
          <w:sz w:val="22"/>
          <w:szCs w:val="22"/>
        </w:rPr>
        <w:t>er</w:t>
      </w:r>
      <w:r w:rsidRPr="00C5576E">
        <w:rPr>
          <w:rFonts w:ascii="Times New Roman" w:hAnsi="Times New Roman" w:cs="Times New Roman"/>
          <w:strike/>
          <w:sz w:val="22"/>
          <w:szCs w:val="22"/>
        </w:rPr>
        <w:t> - La présente décision entrera en vigueur après accomplissement des formalités de la publication faites conformément aux articles L1133-1 et L1133-2 du Code de la Démocratie Locale et de la Décentralisation, au plus tôt le 1er janvier 2026 et pour une période expirant le 31 décembre 2030, au profit de la Commune. </w:t>
      </w:r>
    </w:p>
    <w:p w14:paraId="4F3AF3F4" w14:textId="05EA1071"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t>Article 2 </w:t>
      </w:r>
      <w:r w:rsidRPr="00C5576E">
        <w:rPr>
          <w:rFonts w:ascii="Times New Roman" w:hAnsi="Times New Roman" w:cs="Times New Roman"/>
          <w:strike/>
          <w:sz w:val="22"/>
          <w:szCs w:val="22"/>
        </w:rPr>
        <w:t>- La redevance est due par toute personne sollicitant une demande de changement de nom. </w:t>
      </w:r>
    </w:p>
    <w:p w14:paraId="5C334E30" w14:textId="7F8569D5"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t>Article 3 </w:t>
      </w:r>
      <w:r w:rsidRPr="00C5576E">
        <w:rPr>
          <w:rFonts w:ascii="Times New Roman" w:hAnsi="Times New Roman" w:cs="Times New Roman"/>
          <w:strike/>
          <w:sz w:val="22"/>
          <w:szCs w:val="22"/>
        </w:rPr>
        <w:t>- La redevance est payable au comptant au moment de la demande de changement de nom, contre-remise d'une preuve de paiement conformément à l'article L3321-3 du Code de la Démocratie Locale et de la Décentralisation. </w:t>
      </w:r>
    </w:p>
    <w:p w14:paraId="62724BDE" w14:textId="3C3A05B8"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t>Article 4</w:t>
      </w:r>
      <w:r w:rsidRPr="00C5576E">
        <w:rPr>
          <w:rFonts w:ascii="Times New Roman" w:hAnsi="Times New Roman" w:cs="Times New Roman"/>
          <w:strike/>
          <w:sz w:val="22"/>
          <w:szCs w:val="22"/>
        </w:rPr>
        <w:t xml:space="preserve"> - La redevance est fixée à </w:t>
      </w:r>
      <w:r w:rsidRPr="00C5576E">
        <w:rPr>
          <w:rStyle w:val="QHx4pod"/>
          <w:rFonts w:ascii="Times New Roman" w:hAnsi="Times New Roman" w:cs="Times New Roman"/>
          <w:b w:val="0"/>
          <w:bCs/>
          <w:strike/>
          <w:sz w:val="22"/>
          <w:szCs w:val="22"/>
        </w:rPr>
        <w:t>300,00 euros</w:t>
      </w:r>
      <w:r w:rsidRPr="00C5576E">
        <w:rPr>
          <w:rFonts w:ascii="Times New Roman" w:hAnsi="Times New Roman" w:cs="Times New Roman"/>
          <w:strike/>
          <w:sz w:val="22"/>
          <w:szCs w:val="22"/>
        </w:rPr>
        <w:t xml:space="preserve"> par demande de changement de nom. </w:t>
      </w:r>
    </w:p>
    <w:p w14:paraId="55D5710B" w14:textId="77777777"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t>Article 5</w:t>
      </w:r>
      <w:r w:rsidRPr="00C5576E">
        <w:rPr>
          <w:rFonts w:ascii="Times New Roman" w:hAnsi="Times New Roman" w:cs="Times New Roman"/>
          <w:strike/>
          <w:sz w:val="22"/>
          <w:szCs w:val="22"/>
        </w:rPr>
        <w:t>- Exonération</w:t>
      </w:r>
    </w:p>
    <w:p w14:paraId="5F6D327B" w14:textId="18FA28B5"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Les demandes de changement de noms si le nom est ridicule ou odieux (en lui-même ou par association avec le prénom), sont exonérés de la redevance communale. </w:t>
      </w:r>
    </w:p>
    <w:p w14:paraId="7B367C1C" w14:textId="77777777"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t>Article 6</w:t>
      </w:r>
      <w:r w:rsidRPr="00C5576E">
        <w:rPr>
          <w:rFonts w:ascii="Times New Roman" w:hAnsi="Times New Roman" w:cs="Times New Roman"/>
          <w:strike/>
          <w:sz w:val="22"/>
          <w:szCs w:val="22"/>
        </w:rPr>
        <w:t> - À défaut de paiement de la redevance dans le délai prescrit, dans le cadre du recouvrement amiable, un rappel par envoi simple sera envoyé au redevable. Le montant de ce rappel est fixé à 5 € et est mis à charge du redevable.</w:t>
      </w:r>
    </w:p>
    <w:p w14:paraId="74443FCC" w14:textId="77777777"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À l’issue de ce rappel, en cas de non-paiement dans les 15 jours, conformément à l’article L1124-40 du CDLD, le débiteur sera mis en demeure par courrier recommandé. Les frais administratifs inhérents à cet envoi seront mis à charge du redevable et s’élèveront à 10 €. Ce montant sera ajouté au principal sur le document de rappel.</w:t>
      </w:r>
    </w:p>
    <w:p w14:paraId="7950583D" w14:textId="77777777"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Pour autant que la créance soit certaine, liquide et exigible, et qu’il ne s’agisse pas de dettes des personnes de droit public, le Directeur Financier envoie une contrainte visée et rendue exécutoire par le Collège communal et signifiée par exploit d’huissier. Cet exploit interrompt la prescription. Un recours peut être introduit dans le mois de la signification par requête ou citation. Les frais administratifs inhérents à ces rappels sont recouvrés par la même contrainte.</w:t>
      </w:r>
    </w:p>
    <w:p w14:paraId="70971B0D" w14:textId="4FF85875" w:rsidR="00EC7D63" w:rsidRPr="00C5576E" w:rsidRDefault="003E1155">
      <w:pPr>
        <w:pStyle w:val="QHx2pod"/>
        <w:rPr>
          <w:rFonts w:ascii="Times New Roman" w:hAnsi="Times New Roman" w:cs="Times New Roman"/>
          <w:strike/>
          <w:sz w:val="22"/>
          <w:szCs w:val="22"/>
        </w:rPr>
      </w:pPr>
      <w:r w:rsidRPr="00C5576E">
        <w:rPr>
          <w:rFonts w:ascii="Times New Roman" w:hAnsi="Times New Roman" w:cs="Times New Roman"/>
          <w:strike/>
          <w:sz w:val="22"/>
          <w:szCs w:val="22"/>
        </w:rPr>
        <w:t>En cas d’inapplicabilité de l’article L1124-40 du CDLD, le recouvrement s’effectue devant les juridictions civiles compétentes. </w:t>
      </w:r>
    </w:p>
    <w:p w14:paraId="42039415" w14:textId="05665CE5"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t>Article 7</w:t>
      </w:r>
      <w:r w:rsidRPr="00C5576E">
        <w:rPr>
          <w:rFonts w:ascii="Times New Roman" w:hAnsi="Times New Roman" w:cs="Times New Roman"/>
          <w:strike/>
          <w:sz w:val="22"/>
          <w:szCs w:val="22"/>
        </w:rPr>
        <w:t> - Les clauses concernant l'établissement, le recouvrement et le contentieux sont celles des articles L3321-1 à -12 du CDLD et d el'arrêté royal du 12 avril 1999 déterminant notamment la procédure devant le Collège communal en matière de réclamation contre une imposition communale. </w:t>
      </w:r>
    </w:p>
    <w:p w14:paraId="1E54CFC2" w14:textId="77777777"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lastRenderedPageBreak/>
        <w:t>Article 8</w:t>
      </w:r>
      <w:r w:rsidRPr="00C5576E">
        <w:rPr>
          <w:rFonts w:ascii="Times New Roman" w:hAnsi="Times New Roman" w:cs="Times New Roman"/>
          <w:strike/>
          <w:sz w:val="22"/>
          <w:szCs w:val="22"/>
        </w:rPr>
        <w:t> - Dans le cadre de la législation RGPD, le traitement de données à caractère personnel nécessaire à la mise en œuvre du présent règlement se fera suivant les règles suivantes :</w:t>
      </w:r>
    </w:p>
    <w:p w14:paraId="36B30F0F" w14:textId="77777777" w:rsidR="00EC7D63" w:rsidRPr="00C5576E" w:rsidRDefault="003E1155">
      <w:pPr>
        <w:pStyle w:val="QHx11pod"/>
        <w:tabs>
          <w:tab w:val="left" w:pos="922"/>
        </w:tabs>
        <w:rPr>
          <w:rFonts w:ascii="Times New Roman" w:hAnsi="Times New Roman" w:cs="Times New Roman"/>
          <w:strike/>
          <w:sz w:val="22"/>
          <w:szCs w:val="22"/>
        </w:rPr>
      </w:pPr>
      <w:r w:rsidRPr="00C5576E">
        <w:rPr>
          <w:rFonts w:ascii="Times New Roman" w:hAnsi="Times New Roman" w:cs="Times New Roman"/>
          <w:strike/>
          <w:sz w:val="22"/>
          <w:szCs w:val="22"/>
        </w:rPr>
        <w:t>Responsable de traitement : la Commune de Remicourt ;</w:t>
      </w:r>
    </w:p>
    <w:p w14:paraId="0E55742A" w14:textId="77777777" w:rsidR="00EC7D63" w:rsidRPr="00C5576E" w:rsidRDefault="003E1155">
      <w:pPr>
        <w:pStyle w:val="QHx11pod"/>
        <w:tabs>
          <w:tab w:val="left" w:pos="922"/>
        </w:tabs>
        <w:rPr>
          <w:rFonts w:ascii="Times New Roman" w:hAnsi="Times New Roman" w:cs="Times New Roman"/>
          <w:strike/>
          <w:sz w:val="22"/>
          <w:szCs w:val="22"/>
        </w:rPr>
      </w:pPr>
      <w:r w:rsidRPr="00C5576E">
        <w:rPr>
          <w:rFonts w:ascii="Times New Roman" w:hAnsi="Times New Roman" w:cs="Times New Roman"/>
          <w:strike/>
          <w:sz w:val="22"/>
          <w:szCs w:val="22"/>
        </w:rPr>
        <w:t>Finalité du traitement : établissement et recouvrement de la taxe/redevance ;</w:t>
      </w:r>
    </w:p>
    <w:p w14:paraId="7F562E32" w14:textId="77777777" w:rsidR="00EC7D63" w:rsidRPr="00C5576E" w:rsidRDefault="003E1155">
      <w:pPr>
        <w:pStyle w:val="QHx11pod"/>
        <w:tabs>
          <w:tab w:val="left" w:pos="922"/>
        </w:tabs>
        <w:rPr>
          <w:rFonts w:ascii="Times New Roman" w:hAnsi="Times New Roman" w:cs="Times New Roman"/>
          <w:strike/>
          <w:sz w:val="22"/>
          <w:szCs w:val="22"/>
        </w:rPr>
      </w:pPr>
      <w:r w:rsidRPr="00C5576E">
        <w:rPr>
          <w:rFonts w:ascii="Times New Roman" w:hAnsi="Times New Roman" w:cs="Times New Roman"/>
          <w:strike/>
          <w:sz w:val="22"/>
          <w:szCs w:val="22"/>
        </w:rPr>
        <w:t>Catégorie de données : données d’identification ;</w:t>
      </w:r>
    </w:p>
    <w:p w14:paraId="2837242F" w14:textId="77777777" w:rsidR="00EC7D63" w:rsidRPr="00C5576E" w:rsidRDefault="003E1155">
      <w:pPr>
        <w:pStyle w:val="QHx11pod"/>
        <w:tabs>
          <w:tab w:val="left" w:pos="922"/>
        </w:tabs>
        <w:rPr>
          <w:rFonts w:ascii="Times New Roman" w:hAnsi="Times New Roman" w:cs="Times New Roman"/>
          <w:strike/>
          <w:sz w:val="22"/>
          <w:szCs w:val="22"/>
        </w:rPr>
      </w:pPr>
      <w:r w:rsidRPr="00C5576E">
        <w:rPr>
          <w:rFonts w:ascii="Times New Roman" w:hAnsi="Times New Roman" w:cs="Times New Roman"/>
          <w:strike/>
          <w:sz w:val="22"/>
          <w:szCs w:val="22"/>
        </w:rPr>
        <w:t>Durée de conservation : la Commune s’engage à conserver les données pour un délai de 30 ans et à les supprimer par la suite ou à les transférer aux archives de l’État ;</w:t>
      </w:r>
    </w:p>
    <w:p w14:paraId="6673E7D4" w14:textId="77777777" w:rsidR="00EC7D63" w:rsidRPr="00C5576E" w:rsidRDefault="003E1155">
      <w:pPr>
        <w:pStyle w:val="QHx11pod"/>
        <w:tabs>
          <w:tab w:val="left" w:pos="922"/>
        </w:tabs>
        <w:rPr>
          <w:rFonts w:ascii="Times New Roman" w:hAnsi="Times New Roman" w:cs="Times New Roman"/>
          <w:strike/>
          <w:sz w:val="22"/>
          <w:szCs w:val="22"/>
        </w:rPr>
      </w:pPr>
      <w:r w:rsidRPr="00C5576E">
        <w:rPr>
          <w:rFonts w:ascii="Times New Roman" w:hAnsi="Times New Roman" w:cs="Times New Roman"/>
          <w:strike/>
          <w:sz w:val="22"/>
          <w:szCs w:val="22"/>
        </w:rPr>
        <w:t>Méthode de collecte : sur base des demandes de changement de nom ;</w:t>
      </w:r>
    </w:p>
    <w:p w14:paraId="77876F87" w14:textId="0671734D" w:rsidR="00EC7D63" w:rsidRPr="00C5576E" w:rsidRDefault="003E1155" w:rsidP="005B16C5">
      <w:pPr>
        <w:pStyle w:val="QHx11pod"/>
        <w:tabs>
          <w:tab w:val="left" w:pos="922"/>
        </w:tabs>
        <w:rPr>
          <w:rFonts w:ascii="Times New Roman" w:hAnsi="Times New Roman" w:cs="Times New Roman"/>
          <w:strike/>
          <w:sz w:val="22"/>
          <w:szCs w:val="22"/>
        </w:rPr>
      </w:pPr>
      <w:r w:rsidRPr="00C5576E">
        <w:rPr>
          <w:rFonts w:ascii="Times New Roman" w:hAnsi="Times New Roman" w:cs="Times New Roman"/>
          <w:strike/>
          <w:sz w:val="22"/>
          <w:szCs w:val="22"/>
        </w:rPr>
        <w:t>Communication des données : les données ne seront communiquées qu’à des tiers autorisés par ou en vertu de la loi, notamment en application de l’article 327 du CIR92, ou à des sous-traitants de la Commune. </w:t>
      </w:r>
    </w:p>
    <w:p w14:paraId="0928DB9C" w14:textId="49610CD7"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t>Article 9</w:t>
      </w:r>
      <w:r w:rsidRPr="00C5576E">
        <w:rPr>
          <w:rFonts w:ascii="Times New Roman" w:hAnsi="Times New Roman" w:cs="Times New Roman"/>
          <w:strike/>
          <w:sz w:val="22"/>
          <w:szCs w:val="22"/>
        </w:rPr>
        <w:t> - La présente décision entrera en vigueur après accomplissement des formalités de la publication faites conformément aux articles L1133-1 et L1133-2 du Code de la Démocratie Locale et de la Décentralisation. </w:t>
      </w:r>
    </w:p>
    <w:p w14:paraId="7F7DA6F7" w14:textId="77777777" w:rsidR="00EC7D63" w:rsidRPr="00C5576E" w:rsidRDefault="003E1155">
      <w:pPr>
        <w:pStyle w:val="QHx2pod"/>
        <w:rPr>
          <w:rFonts w:ascii="Times New Roman" w:hAnsi="Times New Roman" w:cs="Times New Roman"/>
          <w:strike/>
          <w:sz w:val="22"/>
          <w:szCs w:val="22"/>
        </w:rPr>
      </w:pPr>
      <w:r w:rsidRPr="00C5576E">
        <w:rPr>
          <w:rStyle w:val="QHx8pod"/>
          <w:rFonts w:ascii="Times New Roman" w:hAnsi="Times New Roman" w:cs="Times New Roman"/>
          <w:strike/>
          <w:sz w:val="22"/>
          <w:szCs w:val="22"/>
        </w:rPr>
        <w:t>Article 10</w:t>
      </w:r>
      <w:r w:rsidRPr="00C5576E">
        <w:rPr>
          <w:rFonts w:ascii="Times New Roman" w:hAnsi="Times New Roman" w:cs="Times New Roman"/>
          <w:strike/>
          <w:sz w:val="22"/>
          <w:szCs w:val="22"/>
        </w:rPr>
        <w:t> - La présente délibération sera transmise pour suite utile à/au/aux :</w:t>
      </w:r>
    </w:p>
    <w:p w14:paraId="127B53E2" w14:textId="77777777" w:rsidR="00EC7D63" w:rsidRPr="00C5576E" w:rsidRDefault="003E1155">
      <w:pPr>
        <w:pStyle w:val="QHx11pod"/>
        <w:numPr>
          <w:ilvl w:val="0"/>
          <w:numId w:val="4"/>
        </w:numPr>
        <w:tabs>
          <w:tab w:val="left" w:pos="922"/>
        </w:tabs>
        <w:rPr>
          <w:rFonts w:ascii="Times New Roman" w:hAnsi="Times New Roman" w:cs="Times New Roman"/>
          <w:strike/>
          <w:sz w:val="22"/>
          <w:szCs w:val="22"/>
        </w:rPr>
      </w:pPr>
      <w:r w:rsidRPr="00C5576E">
        <w:rPr>
          <w:rFonts w:ascii="Times New Roman" w:hAnsi="Times New Roman" w:cs="Times New Roman"/>
          <w:strike/>
          <w:sz w:val="22"/>
          <w:szCs w:val="22"/>
        </w:rPr>
        <w:t>Service </w:t>
      </w:r>
      <w:r w:rsidRPr="00C5576E">
        <w:rPr>
          <w:rStyle w:val="QHx3pod"/>
          <w:rFonts w:ascii="Times New Roman" w:hAnsi="Times New Roman" w:cs="Times New Roman"/>
          <w:strike/>
          <w:sz w:val="22"/>
          <w:szCs w:val="22"/>
        </w:rPr>
        <w:t>Finances &amp; Fiscalité</w:t>
      </w:r>
    </w:p>
    <w:p w14:paraId="204DCC36" w14:textId="77777777" w:rsidR="00EC7D63" w:rsidRPr="00C5576E" w:rsidRDefault="003E1155">
      <w:pPr>
        <w:pStyle w:val="QHx11pod"/>
        <w:numPr>
          <w:ilvl w:val="0"/>
          <w:numId w:val="4"/>
        </w:numPr>
        <w:tabs>
          <w:tab w:val="left" w:pos="922"/>
        </w:tabs>
        <w:rPr>
          <w:rFonts w:ascii="Times New Roman" w:hAnsi="Times New Roman" w:cs="Times New Roman"/>
          <w:strike/>
          <w:sz w:val="22"/>
          <w:szCs w:val="22"/>
        </w:rPr>
      </w:pPr>
      <w:r w:rsidRPr="00C5576E">
        <w:rPr>
          <w:rFonts w:ascii="Times New Roman" w:hAnsi="Times New Roman" w:cs="Times New Roman"/>
          <w:strike/>
          <w:sz w:val="22"/>
          <w:szCs w:val="22"/>
        </w:rPr>
        <w:t>Service </w:t>
      </w:r>
      <w:r w:rsidRPr="00C5576E">
        <w:rPr>
          <w:rStyle w:val="QHx3pod"/>
          <w:rFonts w:ascii="Times New Roman" w:hAnsi="Times New Roman" w:cs="Times New Roman"/>
          <w:strike/>
          <w:sz w:val="22"/>
          <w:szCs w:val="22"/>
        </w:rPr>
        <w:t>État civil &amp; Cimetières</w:t>
      </w:r>
    </w:p>
    <w:p w14:paraId="21FB8B9E" w14:textId="5D29680E" w:rsidR="00EC7D63" w:rsidRPr="00C5576E" w:rsidRDefault="003E1155" w:rsidP="005B16C5">
      <w:pPr>
        <w:pStyle w:val="QHx11pod"/>
        <w:numPr>
          <w:ilvl w:val="0"/>
          <w:numId w:val="4"/>
        </w:numPr>
        <w:tabs>
          <w:tab w:val="left" w:pos="922"/>
        </w:tabs>
        <w:rPr>
          <w:rFonts w:ascii="Times New Roman" w:hAnsi="Times New Roman" w:cs="Times New Roman"/>
          <w:strike/>
          <w:sz w:val="22"/>
          <w:szCs w:val="22"/>
        </w:rPr>
      </w:pPr>
      <w:r w:rsidRPr="00C5576E">
        <w:rPr>
          <w:rFonts w:ascii="Times New Roman" w:hAnsi="Times New Roman" w:cs="Times New Roman"/>
          <w:strike/>
          <w:sz w:val="22"/>
          <w:szCs w:val="22"/>
        </w:rPr>
        <w:t>Directeur financier</w:t>
      </w:r>
    </w:p>
    <w:p w14:paraId="4A27F634" w14:textId="77777777" w:rsidR="00EC7D63" w:rsidRPr="005C6946" w:rsidRDefault="00EC7D63">
      <w:pPr>
        <w:pStyle w:val="Titre2"/>
        <w:tabs>
          <w:tab w:val="left" w:pos="1020"/>
        </w:tabs>
        <w:spacing w:before="0" w:after="0"/>
        <w:ind w:left="510" w:hanging="510"/>
        <w:jc w:val="both"/>
        <w:rPr>
          <w:rFonts w:cs="Times New Roman"/>
          <w:color w:val="000000"/>
          <w:szCs w:val="22"/>
          <w:u w:val="none"/>
        </w:rPr>
      </w:pPr>
    </w:p>
    <w:p w14:paraId="4582F72B" w14:textId="77777777" w:rsidR="00EC7D63" w:rsidRPr="005C6946" w:rsidRDefault="003E1155">
      <w:pPr>
        <w:pStyle w:val="Titre2"/>
        <w:tabs>
          <w:tab w:val="left" w:pos="1020"/>
        </w:tabs>
        <w:spacing w:before="0" w:after="113"/>
        <w:ind w:left="510" w:hanging="510"/>
        <w:jc w:val="both"/>
        <w:rPr>
          <w:rFonts w:cs="Times New Roman"/>
          <w:szCs w:val="22"/>
        </w:rPr>
      </w:pPr>
      <w:bookmarkStart w:id="10" w:name="__RefHeading___Toc1768_349934923610"/>
      <w:bookmarkEnd w:id="10"/>
      <w:r w:rsidRPr="005C6946">
        <w:rPr>
          <w:rFonts w:cs="Times New Roman"/>
          <w:color w:val="000000"/>
          <w:szCs w:val="22"/>
          <w:u w:val="none"/>
        </w:rPr>
        <w:t>11.</w:t>
      </w:r>
      <w:r w:rsidRPr="005C6946">
        <w:rPr>
          <w:rFonts w:cs="Times New Roman"/>
          <w:color w:val="000000"/>
          <w:szCs w:val="22"/>
          <w:u w:val="none"/>
        </w:rPr>
        <w:tab/>
      </w:r>
      <w:r w:rsidRPr="005C6946">
        <w:rPr>
          <w:rFonts w:cs="Times New Roman"/>
          <w:caps/>
          <w:color w:val="000000"/>
          <w:szCs w:val="22"/>
        </w:rPr>
        <w:t>REDEVANCE POUR LE TRAITEMENT DES DEMANDES EN MATIÈRE DE MARIAGE ET DE COHABITATION LÉGALE - EXERCICES 2026 À 2030.</w:t>
      </w:r>
    </w:p>
    <w:p w14:paraId="4C50F779"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0C3F0365" w14:textId="333E6B14"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Constitution, les articles 41, 162 et 173 ; </w:t>
      </w:r>
    </w:p>
    <w:p w14:paraId="742BCD3B" w14:textId="7C9EB9C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décret du 14 décembre 2000 (MB 18.1.2001) et la loi du 24 juin 2000 (MB 23.9.2004, éd.2) portant assentiment de la Charte européenne de l’autonomie locale, notamment l’article 9.1 de la Charte ; </w:t>
      </w:r>
    </w:p>
    <w:p w14:paraId="30146B07" w14:textId="7048F2A2"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Code de la démocratie locale et de la décentralisation, et notamment les articles L1122-30 et L1124-40 ; </w:t>
      </w:r>
    </w:p>
    <w:p w14:paraId="2772B0DA" w14:textId="68FFC1F8"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dispositions légales et réglementaires en vigueur en matière d’établissement et de recouvrement des redevances communales ; </w:t>
      </w:r>
    </w:p>
    <w:p w14:paraId="303518BF" w14:textId="36C12308"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recommandations émises par la circulaire du 15 septembre 2025 relative à l’élaboration des budgets des communes de la Région wallonne pour l’année 2026 ; </w:t>
      </w:r>
    </w:p>
    <w:p w14:paraId="135C6893" w14:textId="2A69BEE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frais engendrés par le traitement des dossiers relatifs à cette matière ; </w:t>
      </w:r>
    </w:p>
    <w:p w14:paraId="264468A1" w14:textId="35CC70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Attendu que la cérémonie organisée pour les mariages représente un coût, notamment en termes de personnel ; qu’il convient également de récupérer une partie de ce coût ; </w:t>
      </w:r>
    </w:p>
    <w:p w14:paraId="14F1B26E" w14:textId="7F035DF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communication du dossier au Directeur financier faite en date du 16 septembre 2025 conformément à l’article L. 1124-40 §3° et 4° du Code de la démocratie locale et de la décentralisation ; </w:t>
      </w:r>
    </w:p>
    <w:p w14:paraId="7A33CB9B" w14:textId="3F37E92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l’avis favorable rendu par le Directeur financier en date du 23 septembre 2025 ; </w:t>
      </w:r>
    </w:p>
    <w:p w14:paraId="7BB410D0" w14:textId="5EF847B8"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Sur proposition du Collège communal ; </w:t>
      </w:r>
    </w:p>
    <w:p w14:paraId="0AB3E9EA" w14:textId="75E453C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Après en avoir délibéré ; </w:t>
      </w:r>
    </w:p>
    <w:p w14:paraId="23BEACE2" w14:textId="536EF5BF" w:rsidR="00EC7D63" w:rsidRPr="00F7554E" w:rsidRDefault="003E1155">
      <w:pPr>
        <w:pStyle w:val="QHx2pod"/>
        <w:rPr>
          <w:rFonts w:ascii="Times New Roman" w:hAnsi="Times New Roman" w:cs="Times New Roman"/>
          <w:b/>
          <w:bCs/>
          <w:sz w:val="22"/>
          <w:szCs w:val="22"/>
        </w:rPr>
      </w:pPr>
      <w:r w:rsidRPr="00F7554E">
        <w:rPr>
          <w:rStyle w:val="QHx4pod"/>
          <w:rFonts w:ascii="Times New Roman" w:hAnsi="Times New Roman" w:cs="Times New Roman"/>
          <w:b w:val="0"/>
          <w:bCs/>
          <w:sz w:val="22"/>
          <w:szCs w:val="22"/>
        </w:rPr>
        <w:t>À l'unanimité,</w:t>
      </w:r>
      <w:r w:rsidRPr="00F7554E">
        <w:rPr>
          <w:rFonts w:ascii="Times New Roman" w:hAnsi="Times New Roman" w:cs="Times New Roman"/>
          <w:b/>
          <w:bCs/>
          <w:sz w:val="22"/>
          <w:szCs w:val="22"/>
        </w:rPr>
        <w:t> </w:t>
      </w:r>
    </w:p>
    <w:p w14:paraId="64FB3237" w14:textId="77777777" w:rsidR="00EC7D63" w:rsidRPr="00F7554E" w:rsidRDefault="003E1155">
      <w:pPr>
        <w:pStyle w:val="QHx2pod"/>
        <w:rPr>
          <w:rFonts w:ascii="Times New Roman" w:hAnsi="Times New Roman" w:cs="Times New Roman"/>
          <w:b/>
          <w:bCs/>
          <w:sz w:val="22"/>
          <w:szCs w:val="22"/>
        </w:rPr>
      </w:pPr>
      <w:r w:rsidRPr="00F7554E">
        <w:rPr>
          <w:rStyle w:val="QHx4pod"/>
          <w:rFonts w:ascii="Times New Roman" w:hAnsi="Times New Roman" w:cs="Times New Roman"/>
          <w:b w:val="0"/>
          <w:bCs/>
          <w:sz w:val="22"/>
          <w:szCs w:val="22"/>
        </w:rPr>
        <w:t>ARRÊTE, </w:t>
      </w:r>
    </w:p>
    <w:p w14:paraId="13C25933"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1er</w:t>
      </w:r>
    </w:p>
    <w:p w14:paraId="5F7152A4" w14:textId="62D69559"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Il est établi, dès son entrée en vigueur et au plus tôt le 1er janvier 2026 et pour une période expirant le 31 décembre 2030, une redevance communale pour le traitement des demandes en matière de mariage et de cohabitation légale, en ce compris la délivrance d’un « carnet » de mariage. </w:t>
      </w:r>
    </w:p>
    <w:p w14:paraId="197C53F8"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2 :</w:t>
      </w:r>
    </w:p>
    <w:p w14:paraId="51AE0445"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La redevance est fixée à :</w:t>
      </w:r>
    </w:p>
    <w:p w14:paraId="1BE6A73B"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- 20 € pour le traitement d’une demande de mariage (carnet y compris).</w:t>
      </w:r>
    </w:p>
    <w:p w14:paraId="714A21A3" w14:textId="5D2C65ED"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- 10 € pour le traitement d’une déclaration de cohabitation légale et/ou d'une cessation de cohabitation légale. </w:t>
      </w:r>
    </w:p>
    <w:p w14:paraId="43F96A6B"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3 :</w:t>
      </w:r>
    </w:p>
    <w:p w14:paraId="5511F9C1" w14:textId="0B4F12D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La redevance est due par les personnes qui introduisent une demande de mariage ou de cohabitation légale auprès de la commune. </w:t>
      </w:r>
    </w:p>
    <w:p w14:paraId="2DA75195"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4 :</w:t>
      </w:r>
    </w:p>
    <w:p w14:paraId="7BC4E56E" w14:textId="73925822"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La redevance est payable au comptant contre-remise d’une preuve de payement. </w:t>
      </w:r>
    </w:p>
    <w:p w14:paraId="4BA29F9A"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5 :</w:t>
      </w:r>
    </w:p>
    <w:p w14:paraId="38D1AD7D"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En cas de non-paiement, conformément aux dispositions de l’article L-1124-40 §1er 1° du Code de la Démocratie Locale et de la Décentralisation, le débiteur sera mis en demeure par courrier recommandé. Les frais administratifs inhérents à cet envoi seront mis à charge du redevable et s’élèveront à 15 € (montant maximum prévu par la circulaire budgétaire). Ce montant sera ajouté au principal sur le document de rappel.</w:t>
      </w:r>
    </w:p>
    <w:p w14:paraId="5EF96661"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Dans les cas non prévus par cette disposition, le recouvrement sera poursuivi devant les juridictions civiles compétentes.</w:t>
      </w:r>
    </w:p>
    <w:p w14:paraId="20D98C81"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lastRenderedPageBreak/>
        <w:t> </w:t>
      </w:r>
    </w:p>
    <w:p w14:paraId="54EFEE9A" w14:textId="77777777"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6 :</w:t>
      </w:r>
      <w:r w:rsidRPr="005C6946">
        <w:rPr>
          <w:rFonts w:ascii="Times New Roman" w:hAnsi="Times New Roman" w:cs="Times New Roman"/>
          <w:sz w:val="22"/>
          <w:szCs w:val="22"/>
        </w:rPr>
        <w:t xml:space="preserve"> </w:t>
      </w:r>
      <w:r w:rsidRPr="005C6946">
        <w:rPr>
          <w:rStyle w:val="QHx6pod"/>
          <w:rFonts w:ascii="Times New Roman" w:hAnsi="Times New Roman" w:cs="Times New Roman"/>
          <w:sz w:val="22"/>
          <w:szCs w:val="22"/>
        </w:rPr>
        <w:t xml:space="preserve">- </w:t>
      </w:r>
      <w:r w:rsidRPr="005C6946">
        <w:rPr>
          <w:rFonts w:ascii="Times New Roman" w:hAnsi="Times New Roman" w:cs="Times New Roman"/>
          <w:sz w:val="22"/>
          <w:szCs w:val="22"/>
        </w:rPr>
        <w:t>Le traitement de données à caractère personnel nécessaire à la mise en oeuvre du présent règlement se fera suivant les règles suivantes :</w:t>
      </w:r>
    </w:p>
    <w:p w14:paraId="13A17D90"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Responsable de traitement : la Commune de Remicourt ;</w:t>
      </w:r>
    </w:p>
    <w:p w14:paraId="355ABB34"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Finalité du traitement : établissement et recouvrement de la taxe ;</w:t>
      </w:r>
    </w:p>
    <w:p w14:paraId="74CC9513"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Catégorie de données : données d’identification, données financières… ;</w:t>
      </w:r>
    </w:p>
    <w:p w14:paraId="677FFC47"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Durée de conservation : la Commune s’engage à conserver les données pour un délai de 30 ans et à les supprimer par la suite ;</w:t>
      </w:r>
    </w:p>
    <w:p w14:paraId="33FE0BBB"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Méthode de collecte : demande directe</w:t>
      </w:r>
    </w:p>
    <w:p w14:paraId="1EF84C03" w14:textId="504BF9A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Communication des données : les données ne seront communiquées qu’à des tiers autorisés par ou en vertu de la loi, notamment en application de l’article 327 du CIR92, ou à des sous-traitants de la Commune. </w:t>
      </w:r>
    </w:p>
    <w:p w14:paraId="3771E84A" w14:textId="0DB450E9"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7 :</w:t>
      </w:r>
      <w:r w:rsidRPr="005C6946">
        <w:rPr>
          <w:rFonts w:ascii="Times New Roman" w:hAnsi="Times New Roman" w:cs="Times New Roman"/>
          <w:sz w:val="22"/>
          <w:szCs w:val="22"/>
        </w:rPr>
        <w:t xml:space="preserve"> La présente délibération sera transmise au Gouvernement wallon, conformément aux articles L3131-1 et suivants du Code de la Démocratie locale et de la décentralisation pour exercice de la tutelle spéciale d’approbation. </w:t>
      </w:r>
    </w:p>
    <w:p w14:paraId="7B76DF8A" w14:textId="1EB10A38" w:rsidR="00EC7D63" w:rsidRPr="005C6946" w:rsidRDefault="003E1155" w:rsidP="00F7554E">
      <w:pPr>
        <w:pStyle w:val="QHx2pod"/>
        <w:rPr>
          <w:rFonts w:ascii="Times New Roman" w:hAnsi="Times New Roman" w:cs="Times New Roman"/>
          <w:color w:val="000000"/>
          <w:sz w:val="22"/>
          <w:szCs w:val="22"/>
        </w:rPr>
      </w:pPr>
      <w:r w:rsidRPr="005C6946">
        <w:rPr>
          <w:rStyle w:val="QHx8pod"/>
          <w:rFonts w:ascii="Times New Roman" w:hAnsi="Times New Roman" w:cs="Times New Roman"/>
          <w:sz w:val="22"/>
          <w:szCs w:val="22"/>
        </w:rPr>
        <w:t>Article 8 :</w:t>
      </w:r>
      <w:r w:rsidRPr="005C6946">
        <w:rPr>
          <w:rFonts w:ascii="Times New Roman" w:hAnsi="Times New Roman" w:cs="Times New Roman"/>
          <w:sz w:val="22"/>
          <w:szCs w:val="22"/>
        </w:rPr>
        <w:t xml:space="preserve"> Le présent règlement entrera en vigueur après accomplissement des formalités de la publication faites conformément aux articles L1133-1 et 2 du code de la démocratie locale et de la décentralisation, au plus tôt le 1er janvier 2026 et pour une période expirant le 31 décembre 2030, au profit de la Commune.</w:t>
      </w:r>
    </w:p>
    <w:p w14:paraId="1A6AA5A6"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0861962B" w14:textId="77777777" w:rsidR="00EC7D63" w:rsidRPr="005C6946" w:rsidRDefault="003E1155">
      <w:pPr>
        <w:pStyle w:val="Titre2"/>
        <w:tabs>
          <w:tab w:val="left" w:pos="1020"/>
        </w:tabs>
        <w:spacing w:before="0" w:after="113"/>
        <w:ind w:left="510" w:hanging="510"/>
        <w:jc w:val="both"/>
        <w:rPr>
          <w:rFonts w:cs="Times New Roman"/>
          <w:szCs w:val="22"/>
        </w:rPr>
      </w:pPr>
      <w:bookmarkStart w:id="11" w:name="__RefHeading___Toc1768_349934923611"/>
      <w:bookmarkEnd w:id="11"/>
      <w:r w:rsidRPr="005C6946">
        <w:rPr>
          <w:rFonts w:cs="Times New Roman"/>
          <w:color w:val="000000"/>
          <w:szCs w:val="22"/>
          <w:u w:val="none"/>
        </w:rPr>
        <w:t>12.</w:t>
      </w:r>
      <w:r w:rsidRPr="005C6946">
        <w:rPr>
          <w:rFonts w:cs="Times New Roman"/>
          <w:color w:val="000000"/>
          <w:szCs w:val="22"/>
          <w:u w:val="none"/>
        </w:rPr>
        <w:tab/>
      </w:r>
      <w:r w:rsidRPr="005C6946">
        <w:rPr>
          <w:rFonts w:cs="Times New Roman"/>
          <w:caps/>
          <w:color w:val="000000"/>
          <w:szCs w:val="22"/>
        </w:rPr>
        <w:t>DÉCRET VOIRIE - DÉLIBÉRATION RELATIVE À LA CESSION D’EMPRISE DANS LE CADRE DU DOSSIER EN PERMIS D’URBANISME CONCERNANT LA RÉHABILITATION D’UNE FERME EN HABITATION UNIFAMILIALE ET PORTANT SUR UN BIEN SIS RUE HANROUX 1 À 4350 MOMALLE.</w:t>
      </w:r>
    </w:p>
    <w:p w14:paraId="22CAA054"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7DD1C28B" w14:textId="08E1D5E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Décret du 6 février 2014 relatif à la voirie communale ; </w:t>
      </w:r>
    </w:p>
    <w:p w14:paraId="61C36487" w14:textId="5AD86E7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Code de la Démocratie Locale et de la Décentralisation, notamment les articles L1122-30, L1131-1 et L1131-2 ; </w:t>
      </w:r>
    </w:p>
    <w:p w14:paraId="0267C9BD" w14:textId="3C1299C2"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Code du développement territorial et notamment ses articles D.IV.41 &amp; D.IV.54 ;  </w:t>
      </w:r>
    </w:p>
    <w:p w14:paraId="08496035" w14:textId="30A168BE"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Code de l’Environnement, spécialement les articles D.49, D.62 à 78 et R.52 ainsi que ses annexes ; </w:t>
      </w:r>
    </w:p>
    <w:p w14:paraId="4CEA8938" w14:textId="3B3BFC84"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la demande de permis d’urbanisme – référence : PU.2024/054 relative à un bien sis à 4350 Momalle, Rue Hanroux 1 (cad. : Division 5, section A n° 870M) et tendant à la réhabilitation d’une ferme en carré en habitation unifamiliale. ; </w:t>
      </w:r>
    </w:p>
    <w:p w14:paraId="5EAB43D2" w14:textId="0753365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 la propriété en cause se situe à l’angle de deux voiries communales rue Hanroux et rue El’Vau, lesquelles sont reprises respectivement à l’Atlas des voiries vicinales de 1841 sous le chemin n° 20 et le chemin n° 7 ; </w:t>
      </w:r>
    </w:p>
    <w:p w14:paraId="52AD4CFC" w14:textId="1E5847AD"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le plan de délimitation, le schéma général du réseau des voiries ainsi que les documents dressés en date du 12 mai 2025 par Monsieur Pierre-Antoine LEROY, Géomètre-expert établis suivant les échanges entretenus avec Monsieur Benoit Duré du Service Technique Provincial voirie établissant l’aménagement de l’espace public en supprimant le talus et en y établissant un trottoir en matériaux en durs le long de la parcelle en cause ; </w:t>
      </w:r>
    </w:p>
    <w:p w14:paraId="0EF95CA4" w14:textId="3BC287C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qu’au sens du Décret du 6 février 2014 relatif à la voirie communale, une modification de voirie s’entend lorsque l’espace dévoué au public est modifié ; </w:t>
      </w:r>
    </w:p>
    <w:p w14:paraId="7EC7B288" w14:textId="30E06FAE" w:rsidR="00EC7D63" w:rsidRPr="005C6946" w:rsidRDefault="003E1155" w:rsidP="00F7554E">
      <w:pPr>
        <w:pStyle w:val="QHx2pod"/>
        <w:rPr>
          <w:rFonts w:ascii="Times New Roman" w:hAnsi="Times New Roman" w:cs="Times New Roman"/>
          <w:sz w:val="22"/>
          <w:szCs w:val="22"/>
        </w:rPr>
      </w:pPr>
      <w:r w:rsidRPr="005C6946">
        <w:rPr>
          <w:rFonts w:ascii="Times New Roman" w:hAnsi="Times New Roman" w:cs="Times New Roman"/>
          <w:sz w:val="22"/>
          <w:szCs w:val="22"/>
        </w:rPr>
        <w:t>Considérant qu’aucun transfert de propriété n’est nécessaire ; </w:t>
      </w:r>
    </w:p>
    <w:p w14:paraId="2FC2C9BC" w14:textId="2D29467F"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les articles 11 et suivants du décret voirie ; </w:t>
      </w:r>
    </w:p>
    <w:p w14:paraId="518BD96B" w14:textId="2382394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qu’une telle opération est d’utilité publique ; qu’une demande officielle de modification de la voirie doit donc être déposée et la procédure requise poursuivie ; </w:t>
      </w:r>
    </w:p>
    <w:p w14:paraId="6AA1F962" w14:textId="55DC02AD"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 le bien est situé en zone d'habitat à caractère rural au plan de secteur de Huy/Waremme approuvé par A.R. du 20/11/1981 ; </w:t>
      </w:r>
    </w:p>
    <w:p w14:paraId="62E9106C" w14:textId="7777777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l’Art. D.II.25 du CoDT de la zone d’habitat à caractère rural :</w:t>
      </w:r>
    </w:p>
    <w:p w14:paraId="6FF0065A" w14:textId="745F954A" w:rsidR="00EC7D63" w:rsidRPr="005C6946" w:rsidRDefault="003E1155">
      <w:pPr>
        <w:pStyle w:val="QHx2pod"/>
        <w:rPr>
          <w:rFonts w:ascii="Times New Roman" w:hAnsi="Times New Roman" w:cs="Times New Roman"/>
          <w:sz w:val="22"/>
          <w:szCs w:val="22"/>
        </w:rPr>
      </w:pPr>
      <w:r w:rsidRPr="005C6946">
        <w:rPr>
          <w:rStyle w:val="QHx3pod"/>
          <w:rFonts w:ascii="Times New Roman" w:hAnsi="Times New Roman" w:cs="Times New Roman"/>
          <w:sz w:val="22"/>
          <w:szCs w:val="22"/>
        </w:rPr>
        <w:t>« La zone d’habitat à caractère rural est principalement destinée à la résidence et aux exploitations agricoles ainsi qu’à leurs activités de diversification déterminées par le Gouvernement en application de l’article D.II.36, § 3. Les activités d’artisanat, de service, de distribution, de recherche ou de petite industrie, les établissements socioculturels, les constructions et aménagements de services publics et d’équipements communautaires de même que les équipements touristiques ou récréatifs peuvent également y être autorisés pour autant qu’ils ne mettent pas en péril la destination principale de la zone et qu’ils soient compatibles avec le voisinage. Cette zone doit aussi accueillir des espaces verts publics. » ;</w:t>
      </w:r>
      <w:r w:rsidRPr="005C6946">
        <w:rPr>
          <w:rFonts w:ascii="Times New Roman" w:hAnsi="Times New Roman" w:cs="Times New Roman"/>
          <w:sz w:val="22"/>
          <w:szCs w:val="22"/>
        </w:rPr>
        <w:t> </w:t>
      </w:r>
    </w:p>
    <w:p w14:paraId="74556882" w14:textId="11EF2E0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 le bien ne se trouve pas dans le périmètre d’un lotissement dûment autorisé ; </w:t>
      </w:r>
    </w:p>
    <w:p w14:paraId="4378D680" w14:textId="1FC64712"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qu’il n’existe pas, pour le territoire où se trouve le bien, de Plan Communal d’Aménagement, de Schéma d’Orientation Local ou de règlement communal d’urbanisme ; </w:t>
      </w:r>
    </w:p>
    <w:p w14:paraId="112F64C1" w14:textId="14A146A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les indications et précisions reprises dans la demande ; </w:t>
      </w:r>
    </w:p>
    <w:p w14:paraId="3F360A66" w14:textId="0A20F2C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Attendu que la demande a été soumise à enquête publique du 18 août 2025 au 16 septembre 2025 dans le respect des modalités reprises à l’article 25 du décret relatif à la voirie communale ; </w:t>
      </w:r>
    </w:p>
    <w:p w14:paraId="1AED9D47" w14:textId="70096383"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lastRenderedPageBreak/>
        <w:t xml:space="preserve">Attendu que celle-ci n'a donné lieu à aucune remarque ni grief qu'ils soient formulés par écrit ou </w:t>
      </w:r>
      <w:r w:rsidR="00F7554E" w:rsidRPr="005C6946">
        <w:rPr>
          <w:rFonts w:ascii="Times New Roman" w:hAnsi="Times New Roman" w:cs="Times New Roman"/>
          <w:sz w:val="22"/>
          <w:szCs w:val="22"/>
        </w:rPr>
        <w:t>verbalement</w:t>
      </w:r>
      <w:r w:rsidR="00F7554E">
        <w:rPr>
          <w:rFonts w:ascii="Times New Roman" w:hAnsi="Times New Roman" w:cs="Times New Roman"/>
          <w:sz w:val="22"/>
          <w:szCs w:val="22"/>
        </w:rPr>
        <w:t xml:space="preserve"> ;</w:t>
      </w:r>
      <w:r w:rsidRPr="005C6946">
        <w:rPr>
          <w:rFonts w:ascii="Times New Roman" w:hAnsi="Times New Roman" w:cs="Times New Roman"/>
          <w:sz w:val="22"/>
          <w:szCs w:val="22"/>
        </w:rPr>
        <w:t> </w:t>
      </w:r>
    </w:p>
    <w:p w14:paraId="1D56EFDB" w14:textId="333B790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 le décret du 06 février 2014 et la présente délibération à sa suite ont pour but de préserver l’intégrité, la viabilité et l’accessibilité des voiries communales, ainsi que d’améliorer leur maillage ; </w:t>
      </w:r>
    </w:p>
    <w:p w14:paraId="4471C9CC" w14:textId="0B9EAC55"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qu’il revient aux autorités publiques à travers la délivrance des permis de protéger et améliorer la qualité du cadre de vie et des conditions de vie de la population, pour lui assurer un environnement sain, sûr et agréable et que le présent projet y répond ; </w:t>
      </w:r>
    </w:p>
    <w:p w14:paraId="1FC06108" w14:textId="6145E17D"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qu’il importe de gérer le milieu de vie et les ressources naturelles, de façon à préserver leurs qualités et à utiliser rationnellement et judicieusement leurs potentialités, d’instaurer entre les besoins humains et le milieu de vie un équilibre qui permette à l’ensemble de la population de jouir durablement d’un cadre et de conditions de vie convenables et qu’à ce titre le présent projet rencontre ces attentes ; </w:t>
      </w:r>
    </w:p>
    <w:p w14:paraId="56D2374B" w14:textId="50E8637B"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qu’il n’est pas utile d’imposer cette étude au motif que l’aménagement projeté n’est pas substantiel ; </w:t>
      </w:r>
    </w:p>
    <w:p w14:paraId="704F6038" w14:textId="2C48E59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qu’après analyse du projet soumis au Conseil communal à l’aune de ces objectifs, une autorisation peut adéquatement être délivrée ; </w:t>
      </w:r>
    </w:p>
    <w:p w14:paraId="027C5407" w14:textId="11F983FB"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Par ces motifs ; </w:t>
      </w:r>
    </w:p>
    <w:p w14:paraId="632B659E" w14:textId="039B93B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Sur proposition du Collège communal ; </w:t>
      </w:r>
    </w:p>
    <w:p w14:paraId="29079FCB" w14:textId="027DA0A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Après avoir délibéré ; </w:t>
      </w:r>
    </w:p>
    <w:p w14:paraId="5D0284FA" w14:textId="2888043A" w:rsidR="00EC7D63" w:rsidRPr="00F7554E" w:rsidRDefault="003E1155">
      <w:pPr>
        <w:pStyle w:val="QHx2pod"/>
        <w:rPr>
          <w:rFonts w:ascii="Times New Roman" w:hAnsi="Times New Roman" w:cs="Times New Roman"/>
          <w:b/>
          <w:bCs/>
          <w:sz w:val="22"/>
          <w:szCs w:val="22"/>
        </w:rPr>
      </w:pPr>
      <w:r w:rsidRPr="00F7554E">
        <w:rPr>
          <w:rStyle w:val="QHx4pod"/>
          <w:rFonts w:ascii="Times New Roman" w:hAnsi="Times New Roman" w:cs="Times New Roman"/>
          <w:b w:val="0"/>
          <w:bCs/>
          <w:sz w:val="22"/>
          <w:szCs w:val="22"/>
        </w:rPr>
        <w:t>À l'unanimité ;</w:t>
      </w:r>
      <w:r w:rsidRPr="00F7554E">
        <w:rPr>
          <w:rFonts w:ascii="Times New Roman" w:hAnsi="Times New Roman" w:cs="Times New Roman"/>
          <w:b/>
          <w:bCs/>
          <w:sz w:val="22"/>
          <w:szCs w:val="22"/>
        </w:rPr>
        <w:t> </w:t>
      </w:r>
    </w:p>
    <w:p w14:paraId="5275DC2B" w14:textId="0516E058" w:rsidR="00EC7D63" w:rsidRPr="00F7554E" w:rsidRDefault="003E1155">
      <w:pPr>
        <w:pStyle w:val="QHx2pod"/>
        <w:rPr>
          <w:rFonts w:ascii="Times New Roman" w:hAnsi="Times New Roman" w:cs="Times New Roman"/>
          <w:b/>
          <w:bCs/>
          <w:sz w:val="22"/>
          <w:szCs w:val="22"/>
        </w:rPr>
      </w:pPr>
      <w:r w:rsidRPr="00F7554E">
        <w:rPr>
          <w:rStyle w:val="QHx4pod"/>
          <w:rFonts w:ascii="Times New Roman" w:hAnsi="Times New Roman" w:cs="Times New Roman"/>
          <w:b w:val="0"/>
          <w:bCs/>
          <w:sz w:val="22"/>
          <w:szCs w:val="22"/>
        </w:rPr>
        <w:t>DÉCIDE :</w:t>
      </w:r>
      <w:r w:rsidRPr="00F7554E">
        <w:rPr>
          <w:rFonts w:ascii="Times New Roman" w:hAnsi="Times New Roman" w:cs="Times New Roman"/>
          <w:b/>
          <w:bCs/>
          <w:sz w:val="22"/>
          <w:szCs w:val="22"/>
        </w:rPr>
        <w:t> </w:t>
      </w:r>
    </w:p>
    <w:p w14:paraId="377A1609" w14:textId="59A94E15" w:rsidR="00EC7D63" w:rsidRPr="005C6946" w:rsidRDefault="003E1155">
      <w:pPr>
        <w:pStyle w:val="QHx2pod"/>
        <w:rPr>
          <w:rFonts w:ascii="Times New Roman" w:hAnsi="Times New Roman" w:cs="Times New Roman"/>
          <w:sz w:val="22"/>
          <w:szCs w:val="22"/>
        </w:rPr>
      </w:pPr>
      <w:r w:rsidRPr="00F7554E">
        <w:rPr>
          <w:rStyle w:val="QHx1pod"/>
          <w:rFonts w:ascii="Times New Roman" w:hAnsi="Times New Roman" w:cs="Times New Roman"/>
          <w:b w:val="0"/>
          <w:bCs/>
          <w:sz w:val="22"/>
          <w:szCs w:val="22"/>
        </w:rPr>
        <w:t>Article 1.</w:t>
      </w:r>
      <w:r w:rsidRPr="005C6946">
        <w:rPr>
          <w:rFonts w:ascii="Times New Roman" w:hAnsi="Times New Roman" w:cs="Times New Roman"/>
          <w:sz w:val="22"/>
          <w:szCs w:val="22"/>
        </w:rPr>
        <w:t> Prend connaissance des résultats de l’enquête publique, à savoir : aucune réclamation n’a été déposée ; </w:t>
      </w:r>
    </w:p>
    <w:p w14:paraId="24F35BB6" w14:textId="4F256BB9" w:rsidR="00EC7D63" w:rsidRPr="005C6946" w:rsidRDefault="003E1155">
      <w:pPr>
        <w:pStyle w:val="QHx2pod"/>
        <w:rPr>
          <w:rFonts w:ascii="Times New Roman" w:hAnsi="Times New Roman" w:cs="Times New Roman"/>
          <w:sz w:val="22"/>
          <w:szCs w:val="22"/>
        </w:rPr>
      </w:pPr>
      <w:r w:rsidRPr="00F7554E">
        <w:rPr>
          <w:rStyle w:val="QHx1pod"/>
          <w:rFonts w:ascii="Times New Roman" w:hAnsi="Times New Roman" w:cs="Times New Roman"/>
          <w:b w:val="0"/>
          <w:bCs/>
          <w:sz w:val="22"/>
          <w:szCs w:val="22"/>
        </w:rPr>
        <w:t>Article 2.</w:t>
      </w:r>
      <w:r w:rsidRPr="005C6946">
        <w:rPr>
          <w:rFonts w:ascii="Times New Roman" w:hAnsi="Times New Roman" w:cs="Times New Roman"/>
          <w:sz w:val="22"/>
          <w:szCs w:val="22"/>
        </w:rPr>
        <w:t xml:space="preserve"> D’autoriser la modification de la voirie communale suivant le plan de délimitation et le schéma général du réseau des voiries mieux définis au préambule ; </w:t>
      </w:r>
    </w:p>
    <w:p w14:paraId="2712090B" w14:textId="77777777" w:rsidR="00EC7D63" w:rsidRPr="005C6946" w:rsidRDefault="003E1155">
      <w:pPr>
        <w:pStyle w:val="QHx2pod"/>
        <w:rPr>
          <w:rFonts w:ascii="Times New Roman" w:hAnsi="Times New Roman" w:cs="Times New Roman"/>
          <w:sz w:val="22"/>
          <w:szCs w:val="22"/>
        </w:rPr>
      </w:pPr>
      <w:r w:rsidRPr="00F7554E">
        <w:rPr>
          <w:rStyle w:val="QHx1pod"/>
          <w:rFonts w:ascii="Times New Roman" w:hAnsi="Times New Roman" w:cs="Times New Roman"/>
          <w:b w:val="0"/>
          <w:bCs/>
          <w:sz w:val="22"/>
          <w:szCs w:val="22"/>
        </w:rPr>
        <w:t>Article 3.</w:t>
      </w:r>
      <w:r w:rsidRPr="005C6946">
        <w:rPr>
          <w:rFonts w:ascii="Times New Roman" w:hAnsi="Times New Roman" w:cs="Times New Roman"/>
          <w:sz w:val="22"/>
          <w:szCs w:val="22"/>
        </w:rPr>
        <w:t> D’accorder à la présente décision les mesures de publicité suivantes :</w:t>
      </w:r>
    </w:p>
    <w:p w14:paraId="79F1C01D" w14:textId="77777777" w:rsidR="00EC7D63" w:rsidRPr="005C6946" w:rsidRDefault="003E1155">
      <w:pPr>
        <w:pStyle w:val="QHx11pod"/>
        <w:numPr>
          <w:ilvl w:val="0"/>
          <w:numId w:val="5"/>
        </w:numPr>
        <w:tabs>
          <w:tab w:val="left" w:pos="922"/>
        </w:tabs>
        <w:rPr>
          <w:rFonts w:ascii="Times New Roman" w:hAnsi="Times New Roman" w:cs="Times New Roman"/>
          <w:sz w:val="22"/>
          <w:szCs w:val="22"/>
        </w:rPr>
      </w:pPr>
      <w:r w:rsidRPr="005C6946">
        <w:rPr>
          <w:rFonts w:ascii="Times New Roman" w:hAnsi="Times New Roman" w:cs="Times New Roman"/>
          <w:sz w:val="22"/>
          <w:szCs w:val="22"/>
        </w:rPr>
        <w:t>Le Conseil communal demande au Collège communal d’informer le demandeur par envoi dans les quinze jours à dater de la présente délibération.</w:t>
      </w:r>
    </w:p>
    <w:p w14:paraId="4A63FF90" w14:textId="77777777" w:rsidR="00EC7D63" w:rsidRPr="005C6946" w:rsidRDefault="003E1155">
      <w:pPr>
        <w:pStyle w:val="QHx11pod"/>
        <w:numPr>
          <w:ilvl w:val="0"/>
          <w:numId w:val="5"/>
        </w:numPr>
        <w:tabs>
          <w:tab w:val="left" w:pos="922"/>
        </w:tabs>
        <w:rPr>
          <w:rFonts w:ascii="Times New Roman" w:hAnsi="Times New Roman" w:cs="Times New Roman"/>
          <w:sz w:val="22"/>
          <w:szCs w:val="22"/>
        </w:rPr>
      </w:pPr>
      <w:r w:rsidRPr="005C6946">
        <w:rPr>
          <w:rFonts w:ascii="Times New Roman" w:hAnsi="Times New Roman" w:cs="Times New Roman"/>
          <w:sz w:val="22"/>
          <w:szCs w:val="22"/>
        </w:rPr>
        <w:t>Le Conseil communal demande au Collège communal d’envoyer en outre simultanément la présente délibération au Gouvernement wallon représenté par la DGO4.</w:t>
      </w:r>
    </w:p>
    <w:p w14:paraId="795007DB" w14:textId="77777777" w:rsidR="00EC7D63" w:rsidRPr="005C6946" w:rsidRDefault="003E1155">
      <w:pPr>
        <w:pStyle w:val="QHx11pod"/>
        <w:numPr>
          <w:ilvl w:val="0"/>
          <w:numId w:val="5"/>
        </w:numPr>
        <w:tabs>
          <w:tab w:val="left" w:pos="922"/>
        </w:tabs>
        <w:rPr>
          <w:rFonts w:ascii="Times New Roman" w:hAnsi="Times New Roman" w:cs="Times New Roman"/>
          <w:sz w:val="22"/>
          <w:szCs w:val="22"/>
        </w:rPr>
      </w:pPr>
      <w:r w:rsidRPr="005C6946">
        <w:rPr>
          <w:rFonts w:ascii="Times New Roman" w:hAnsi="Times New Roman" w:cs="Times New Roman"/>
          <w:sz w:val="22"/>
          <w:szCs w:val="22"/>
        </w:rPr>
        <w:t>Le public est informé de la présente délibération par voie d’avis suivant les modes visés à l’article L1133-1 du Code de la démocratie locale et de la décentralisation, et la délibération est intégralement affichée, sans délai et durant quinze jours.</w:t>
      </w:r>
    </w:p>
    <w:p w14:paraId="57598534" w14:textId="7417AABC" w:rsidR="00EC7D63" w:rsidRPr="00F7554E" w:rsidRDefault="003E1155" w:rsidP="00F7554E">
      <w:pPr>
        <w:pStyle w:val="QHx11pod"/>
        <w:numPr>
          <w:ilvl w:val="0"/>
          <w:numId w:val="5"/>
        </w:numPr>
        <w:tabs>
          <w:tab w:val="left" w:pos="922"/>
        </w:tabs>
        <w:rPr>
          <w:rFonts w:ascii="Times New Roman" w:hAnsi="Times New Roman" w:cs="Times New Roman"/>
          <w:sz w:val="22"/>
          <w:szCs w:val="22"/>
        </w:rPr>
      </w:pPr>
      <w:r w:rsidRPr="00F7554E">
        <w:rPr>
          <w:rFonts w:ascii="Times New Roman" w:hAnsi="Times New Roman" w:cs="Times New Roman"/>
          <w:sz w:val="22"/>
          <w:szCs w:val="22"/>
        </w:rPr>
        <w:t>La présente délibération est intégralement notifiée aux propriétaires riverains. </w:t>
      </w:r>
    </w:p>
    <w:p w14:paraId="689D8290" w14:textId="4AFDD240" w:rsidR="00EC7D63" w:rsidRPr="005C6946" w:rsidRDefault="003E1155">
      <w:pPr>
        <w:pStyle w:val="QHx2pod"/>
        <w:rPr>
          <w:rFonts w:ascii="Times New Roman" w:hAnsi="Times New Roman" w:cs="Times New Roman"/>
          <w:sz w:val="22"/>
          <w:szCs w:val="22"/>
        </w:rPr>
      </w:pPr>
      <w:r w:rsidRPr="00F7554E">
        <w:rPr>
          <w:rStyle w:val="QHx1pod"/>
          <w:rFonts w:ascii="Times New Roman" w:hAnsi="Times New Roman" w:cs="Times New Roman"/>
          <w:b w:val="0"/>
          <w:bCs/>
          <w:sz w:val="22"/>
          <w:szCs w:val="22"/>
        </w:rPr>
        <w:t>Article 4.</w:t>
      </w:r>
      <w:r w:rsidRPr="005C6946">
        <w:rPr>
          <w:rFonts w:ascii="Times New Roman" w:hAnsi="Times New Roman" w:cs="Times New Roman"/>
          <w:sz w:val="22"/>
          <w:szCs w:val="22"/>
        </w:rPr>
        <w:t> La présente décision est susceptible d’un recours auprès du Gouvernement moyennant envoi à ce dernier dans les quinze jours suivant la réception de la présente décision. </w:t>
      </w:r>
    </w:p>
    <w:p w14:paraId="0A816208" w14:textId="3C1D1E56" w:rsidR="00EC7D63" w:rsidRPr="005C6946" w:rsidRDefault="003E1155" w:rsidP="00F7554E">
      <w:pPr>
        <w:pStyle w:val="QHx2pod"/>
        <w:rPr>
          <w:rFonts w:ascii="Times New Roman" w:hAnsi="Times New Roman" w:cs="Times New Roman"/>
          <w:color w:val="000000"/>
          <w:sz w:val="22"/>
          <w:szCs w:val="22"/>
        </w:rPr>
      </w:pPr>
      <w:r w:rsidRPr="00F7554E">
        <w:rPr>
          <w:rStyle w:val="QHx4pod"/>
          <w:rFonts w:ascii="Times New Roman" w:hAnsi="Times New Roman" w:cs="Times New Roman"/>
          <w:b w:val="0"/>
          <w:bCs/>
          <w:sz w:val="22"/>
          <w:szCs w:val="22"/>
        </w:rPr>
        <w:t>VERSE</w:t>
      </w:r>
      <w:r w:rsidRPr="005C6946">
        <w:rPr>
          <w:rStyle w:val="QHx4pod"/>
          <w:rFonts w:ascii="Times New Roman" w:hAnsi="Times New Roman" w:cs="Times New Roman"/>
          <w:sz w:val="22"/>
          <w:szCs w:val="22"/>
        </w:rPr>
        <w:t> </w:t>
      </w:r>
      <w:r w:rsidRPr="005C6946">
        <w:rPr>
          <w:rFonts w:ascii="Times New Roman" w:hAnsi="Times New Roman" w:cs="Times New Roman"/>
          <w:sz w:val="22"/>
          <w:szCs w:val="22"/>
        </w:rPr>
        <w:t>la présente délibération au dossier de demande de permis.</w:t>
      </w:r>
    </w:p>
    <w:p w14:paraId="209A8747" w14:textId="77777777" w:rsidR="00EC7D63" w:rsidRPr="005C6946" w:rsidRDefault="00EC7D63">
      <w:pPr>
        <w:tabs>
          <w:tab w:val="left" w:pos="1020"/>
        </w:tabs>
        <w:spacing w:after="57"/>
        <w:ind w:left="510" w:hanging="510"/>
        <w:jc w:val="both"/>
        <w:rPr>
          <w:rFonts w:ascii="Times New Roman" w:hAnsi="Times New Roman" w:cs="Times New Roman"/>
          <w:b/>
          <w:bCs/>
          <w:color w:val="000000"/>
          <w:sz w:val="22"/>
          <w:szCs w:val="22"/>
        </w:rPr>
      </w:pPr>
    </w:p>
    <w:p w14:paraId="63447560" w14:textId="77777777" w:rsidR="00EC7D63" w:rsidRPr="005C6946" w:rsidRDefault="003E1155">
      <w:pPr>
        <w:pStyle w:val="Titre2"/>
        <w:tabs>
          <w:tab w:val="left" w:pos="1020"/>
        </w:tabs>
        <w:spacing w:before="0" w:after="113"/>
        <w:ind w:left="510" w:hanging="510"/>
        <w:jc w:val="both"/>
        <w:rPr>
          <w:rFonts w:cs="Times New Roman"/>
          <w:szCs w:val="22"/>
        </w:rPr>
      </w:pPr>
      <w:bookmarkStart w:id="12" w:name="__RefHeading___Toc1768_349934923612"/>
      <w:bookmarkEnd w:id="12"/>
      <w:r w:rsidRPr="005C6946">
        <w:rPr>
          <w:rFonts w:cs="Times New Roman"/>
          <w:color w:val="000000"/>
          <w:szCs w:val="22"/>
          <w:u w:val="none"/>
        </w:rPr>
        <w:t>13.</w:t>
      </w:r>
      <w:r w:rsidRPr="005C6946">
        <w:rPr>
          <w:rFonts w:cs="Times New Roman"/>
          <w:color w:val="000000"/>
          <w:szCs w:val="22"/>
          <w:u w:val="none"/>
        </w:rPr>
        <w:tab/>
      </w:r>
      <w:r w:rsidRPr="005C6946">
        <w:rPr>
          <w:rFonts w:cs="Times New Roman"/>
          <w:caps/>
          <w:color w:val="000000"/>
          <w:szCs w:val="22"/>
        </w:rPr>
        <w:t>PLAN PIC 2022-2024 - RÉFECTION DE LA RUE DE POUSSET - APPROBATION DES CONDITIONS ET DU MODE DE PASSATION.</w:t>
      </w:r>
    </w:p>
    <w:p w14:paraId="5457C1C2" w14:textId="77777777" w:rsidR="00EC7D63" w:rsidRPr="005C6946" w:rsidRDefault="003E1155">
      <w:pPr>
        <w:pStyle w:val="Corpsdetexte"/>
        <w:spacing w:after="0"/>
        <w:rPr>
          <w:rFonts w:ascii="Times New Roman" w:hAnsi="Times New Roman" w:cs="Times New Roman"/>
          <w:sz w:val="22"/>
          <w:szCs w:val="22"/>
        </w:rPr>
      </w:pPr>
      <w:r w:rsidRPr="005C6946">
        <w:rPr>
          <w:rFonts w:ascii="Times New Roman" w:hAnsi="Times New Roman" w:cs="Times New Roman"/>
          <w:sz w:val="22"/>
          <w:szCs w:val="22"/>
        </w:rPr>
        <w:t>Le Conseil communal,</w:t>
      </w:r>
    </w:p>
    <w:p w14:paraId="372BF2A7" w14:textId="44219B7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le Code de la démocratie locale et de la décentralisation et ses modifications ultérieures, notamment l'article L1222-3 §1 relatif aux compétences du Conseil communal et les articles L3111-1 et suivants relatifs à la tutelle ; </w:t>
      </w:r>
    </w:p>
    <w:p w14:paraId="69984006" w14:textId="5854FB7E" w:rsidR="00EC7D63" w:rsidRPr="005C6946" w:rsidRDefault="003E1155" w:rsidP="00F7554E">
      <w:pPr>
        <w:pStyle w:val="QHx2pod"/>
        <w:rPr>
          <w:rFonts w:ascii="Times New Roman" w:hAnsi="Times New Roman" w:cs="Times New Roman"/>
          <w:sz w:val="22"/>
          <w:szCs w:val="22"/>
        </w:rPr>
      </w:pPr>
      <w:r w:rsidRPr="005C6946">
        <w:rPr>
          <w:rFonts w:ascii="Times New Roman" w:hAnsi="Times New Roman" w:cs="Times New Roman"/>
          <w:sz w:val="22"/>
          <w:szCs w:val="22"/>
        </w:rPr>
        <w:t>Vu la loi du 17 juin 2013 relative à la motivation, à l'information et aux voies de recours en matière de marchés publics, de certains marchés de travaux, de fournitures, de services, de concessions et ses modifications ultérieures ; </w:t>
      </w:r>
    </w:p>
    <w:p w14:paraId="0CFCC776" w14:textId="4F40E884"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loi du 17 juin 2016 relative aux marchés publics et ses modifications ultérieures, notamment l'article 36, et notamment articles 2, 36° et 48 permettant une réalisation conjointe du marché pour le compte de plusieurs adjudicateurs ; </w:t>
      </w:r>
    </w:p>
    <w:p w14:paraId="4282F599" w14:textId="0824DE55"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l'arrêté royal du 14 janvier 2013 établissant les règles générales d'exécution des marchés publics et ses modifications ultérieures ; </w:t>
      </w:r>
    </w:p>
    <w:p w14:paraId="78319639" w14:textId="09721635"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l'arrêté royal du 18 avril 2017 relatif à la passation des marchés publics dans les secteurs classiques et ses modifications ultérieures ; </w:t>
      </w:r>
    </w:p>
    <w:p w14:paraId="097940FA" w14:textId="78CAB2F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Vu la décision du Collège communal du 8 janvier 2024 relative à l'attribution du marché de conception pour le marché “Plan PIC 2022-2024 - Réfection de la rue de Pousset” au Bureau d'étude Radian, Roseleux 32C à 4890 Thimister ; </w:t>
      </w:r>
    </w:p>
    <w:p w14:paraId="2598B969" w14:textId="1341758B"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le cahier des charges N° 3152024 relatif à ce marché établi par l’auteur de projet, Bureau d'étude Radian, Roseleux 32C à 4890 Thimister ; </w:t>
      </w:r>
    </w:p>
    <w:p w14:paraId="7A710DEC" w14:textId="5147230C"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 le montant estimé de ce marché s'élève à 1.901.103,31 € hors TVA ou 2.157.694,56 €, TVA comprise ; </w:t>
      </w:r>
    </w:p>
    <w:p w14:paraId="72A56CB2" w14:textId="31185D20"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qu'il est proposé de passer le marché par procédure ouverte ; </w:t>
      </w:r>
    </w:p>
    <w:p w14:paraId="12141D20" w14:textId="0EB95F55"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qu'une partie des coûts est subsidiée par la SPGE, Avenue de Stassart, 14-16 à 5000 NAMUR, et que le montant provisoirement promis s'élève à 629.410,76 € ; </w:t>
      </w:r>
    </w:p>
    <w:p w14:paraId="3662CBAA" w14:textId="788AF70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lastRenderedPageBreak/>
        <w:t>Considérant que ces montants seront revus suite à la modification de l'estimation du projet par l'auteur de projet après analyse des tests de détection de goudron dans la voirie ; </w:t>
      </w:r>
    </w:p>
    <w:p w14:paraId="3D6B5071" w14:textId="0633956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qu'une partie des coûts est subsidiée par la Wallonie infrastructures SPW - Département des infrastructures locales - Direction des espaces publics subsidiés, Boulevard du Nord 8 à 5000 Namur, et que le montant provisoirement promis s'élève à 278.915,90 € (pour le marché complet) ; </w:t>
      </w:r>
    </w:p>
    <w:p w14:paraId="01593328" w14:textId="03F7130B"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qu'il s'agit d'un marché conjoint pour lequel il est recommandé que la Commune de Remicourt exécutera la procédure et interviendra au nom de l'Association Intercommunale pour le Démergement et l'Epuration des communes de la province de Liège (AIDE) à l'attribution du marché ; </w:t>
      </w:r>
    </w:p>
    <w:p w14:paraId="2AC65800" w14:textId="38A24E2F"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 les achats collectifs peuvent permettre une économie considérable et une simplification administrative ; </w:t>
      </w:r>
    </w:p>
    <w:p w14:paraId="01F50B79" w14:textId="459E3BF6"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que le crédit permettant cette dépense est inscrit au budget extraordinaire de l’exercice 2025, article 421/731-60 (n° de projet 20250043) et sera financé par emprunt ; </w:t>
      </w:r>
    </w:p>
    <w:p w14:paraId="31762C5C" w14:textId="626F32DE"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 xml:space="preserve">Considérant que, sous réserve d'approbation du budget, le crédit sera augmenté lors de la prochaine modification budgétaire </w:t>
      </w:r>
      <w:r w:rsidRPr="005C6946">
        <w:rPr>
          <w:rStyle w:val="QHx4pod"/>
          <w:rFonts w:ascii="Times New Roman" w:hAnsi="Times New Roman" w:cs="Times New Roman"/>
          <w:sz w:val="22"/>
          <w:szCs w:val="22"/>
        </w:rPr>
        <w:t>;</w:t>
      </w:r>
      <w:r w:rsidRPr="005C6946">
        <w:rPr>
          <w:rFonts w:ascii="Times New Roman" w:hAnsi="Times New Roman" w:cs="Times New Roman"/>
          <w:sz w:val="22"/>
          <w:szCs w:val="22"/>
        </w:rPr>
        <w:t> </w:t>
      </w:r>
    </w:p>
    <w:p w14:paraId="4FC4C450" w14:textId="5EFF5B11"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Considérant qu'une demande afin d’obtenir l'avis de légalité obligatoire a été soumise le 15 septembre 2025 au directeur financier ; </w:t>
      </w:r>
    </w:p>
    <w:p w14:paraId="476CD798" w14:textId="05559503" w:rsidR="00EC7D63" w:rsidRPr="005C6946" w:rsidRDefault="003E1155" w:rsidP="00F7554E">
      <w:pPr>
        <w:rPr>
          <w:rFonts w:ascii="Times New Roman" w:hAnsi="Times New Roman" w:cs="Times New Roman"/>
          <w:sz w:val="22"/>
          <w:szCs w:val="22"/>
        </w:rPr>
      </w:pPr>
      <w:r w:rsidRPr="005C6946">
        <w:rPr>
          <w:rFonts w:ascii="Times New Roman" w:hAnsi="Times New Roman" w:cs="Times New Roman"/>
          <w:sz w:val="22"/>
          <w:szCs w:val="22"/>
        </w:rPr>
        <w:t>Considérant que le directeur financier a remis un avis favorable en date du 23 septembre 2025 ; </w:t>
      </w:r>
    </w:p>
    <w:p w14:paraId="1B5DE2DF" w14:textId="3F4254E7"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Sur proposition du Collège Communal ; </w:t>
      </w:r>
    </w:p>
    <w:p w14:paraId="3EF0390E" w14:textId="6EC00053" w:rsidR="00EC7D63" w:rsidRPr="005C6946" w:rsidRDefault="003E1155">
      <w:pPr>
        <w:pStyle w:val="QHx2pod"/>
        <w:rPr>
          <w:rFonts w:ascii="Times New Roman" w:hAnsi="Times New Roman" w:cs="Times New Roman"/>
          <w:sz w:val="22"/>
          <w:szCs w:val="22"/>
        </w:rPr>
      </w:pPr>
      <w:r w:rsidRPr="005C6946">
        <w:rPr>
          <w:rFonts w:ascii="Times New Roman" w:hAnsi="Times New Roman" w:cs="Times New Roman"/>
          <w:sz w:val="22"/>
          <w:szCs w:val="22"/>
        </w:rPr>
        <w:t>Par ces motifs ; </w:t>
      </w:r>
    </w:p>
    <w:p w14:paraId="733C00C4" w14:textId="56D96B42" w:rsidR="00EC7D63" w:rsidRPr="00F7554E" w:rsidRDefault="003E1155">
      <w:pPr>
        <w:pStyle w:val="QHx2pod"/>
        <w:rPr>
          <w:rFonts w:ascii="Times New Roman" w:hAnsi="Times New Roman" w:cs="Times New Roman"/>
          <w:b/>
          <w:bCs/>
          <w:sz w:val="22"/>
          <w:szCs w:val="22"/>
        </w:rPr>
      </w:pPr>
      <w:r w:rsidRPr="00F7554E">
        <w:rPr>
          <w:rStyle w:val="QHx4pod"/>
          <w:rFonts w:ascii="Times New Roman" w:hAnsi="Times New Roman" w:cs="Times New Roman"/>
          <w:b w:val="0"/>
          <w:bCs/>
          <w:sz w:val="22"/>
          <w:szCs w:val="22"/>
        </w:rPr>
        <w:t>À l'unanimité,</w:t>
      </w:r>
      <w:r w:rsidRPr="00F7554E">
        <w:rPr>
          <w:rFonts w:ascii="Times New Roman" w:hAnsi="Times New Roman" w:cs="Times New Roman"/>
          <w:b/>
          <w:bCs/>
          <w:sz w:val="22"/>
          <w:szCs w:val="22"/>
        </w:rPr>
        <w:t> </w:t>
      </w:r>
    </w:p>
    <w:p w14:paraId="09A5AB4F" w14:textId="6DF4AD99" w:rsidR="00EC7D63" w:rsidRPr="00F7554E" w:rsidRDefault="003E1155">
      <w:pPr>
        <w:pStyle w:val="QHx2pod"/>
        <w:rPr>
          <w:rFonts w:ascii="Times New Roman" w:hAnsi="Times New Roman" w:cs="Times New Roman"/>
          <w:b/>
          <w:bCs/>
          <w:sz w:val="22"/>
          <w:szCs w:val="22"/>
        </w:rPr>
      </w:pPr>
      <w:r w:rsidRPr="00F7554E">
        <w:rPr>
          <w:rStyle w:val="QHx4pod"/>
          <w:rFonts w:ascii="Times New Roman" w:hAnsi="Times New Roman" w:cs="Times New Roman"/>
          <w:b w:val="0"/>
          <w:bCs/>
          <w:sz w:val="22"/>
          <w:szCs w:val="22"/>
        </w:rPr>
        <w:t xml:space="preserve">DÉCIDE : </w:t>
      </w:r>
      <w:r w:rsidRPr="00F7554E">
        <w:rPr>
          <w:rFonts w:ascii="Times New Roman" w:hAnsi="Times New Roman" w:cs="Times New Roman"/>
          <w:b/>
          <w:bCs/>
          <w:sz w:val="22"/>
          <w:szCs w:val="22"/>
        </w:rPr>
        <w:t> </w:t>
      </w:r>
    </w:p>
    <w:p w14:paraId="0DBAE14F" w14:textId="5EB4B2A1"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1er</w:t>
      </w:r>
      <w:r w:rsidRPr="005C6946">
        <w:rPr>
          <w:rFonts w:ascii="Times New Roman" w:hAnsi="Times New Roman" w:cs="Times New Roman"/>
          <w:sz w:val="22"/>
          <w:szCs w:val="22"/>
        </w:rPr>
        <w:t xml:space="preserve"> : D'approuver le cahier des charges N° 3152024 et le montant estimé du marché “Plan PIC 2022-2024 - Réfection de la rue de Pousset”, établis par l’auteur de projet, Bureau d'étude Radian, Roseleux 32C à 4890 Thimister sous réserve de clarifications à apporter sur les différents montants renseignés et pris en charge par la SPGE. Les conditions sont fixées comme prévu au cahier des charges et par les règles générales d'exécution des marchés publics. Le montant estimé s'élève à 1.901.103,31 € hors TVA ou 2.157.694,56 €, TVA comprise. </w:t>
      </w:r>
    </w:p>
    <w:p w14:paraId="376DEE38" w14:textId="5535A1A1"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2</w:t>
      </w:r>
      <w:r w:rsidRPr="005C6946">
        <w:rPr>
          <w:rFonts w:ascii="Times New Roman" w:hAnsi="Times New Roman" w:cs="Times New Roman"/>
          <w:sz w:val="22"/>
          <w:szCs w:val="22"/>
        </w:rPr>
        <w:t xml:space="preserve"> : De passer le marché par la procédure ouverte. </w:t>
      </w:r>
    </w:p>
    <w:p w14:paraId="554DCB8D" w14:textId="058680D9"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3</w:t>
      </w:r>
      <w:r w:rsidRPr="005C6946">
        <w:rPr>
          <w:rFonts w:ascii="Times New Roman" w:hAnsi="Times New Roman" w:cs="Times New Roman"/>
          <w:sz w:val="22"/>
          <w:szCs w:val="22"/>
        </w:rPr>
        <w:t xml:space="preserve"> : De solliciter une subvention pour ce marché auprès de l'autorité subsidiante Wallonie infrastructures SPW - Département des infrastructures locales - Direction des espaces publics subsidiés, Boulevard du Nord 8 à 5000 Namur. </w:t>
      </w:r>
    </w:p>
    <w:p w14:paraId="62BEC567" w14:textId="1409B2C4"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4</w:t>
      </w:r>
      <w:r w:rsidRPr="005C6946">
        <w:rPr>
          <w:rFonts w:ascii="Times New Roman" w:hAnsi="Times New Roman" w:cs="Times New Roman"/>
          <w:sz w:val="22"/>
          <w:szCs w:val="22"/>
        </w:rPr>
        <w:t xml:space="preserve"> : De solliciter une subvention pour ce marché auprès de l'autorité subsidiante SPGE, Avenue de Stassart, 14-16 à 5000 NAMUR. </w:t>
      </w:r>
    </w:p>
    <w:p w14:paraId="0186C67D" w14:textId="531BC9F1"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5</w:t>
      </w:r>
      <w:r w:rsidRPr="005C6946">
        <w:rPr>
          <w:rFonts w:ascii="Times New Roman" w:hAnsi="Times New Roman" w:cs="Times New Roman"/>
          <w:sz w:val="22"/>
          <w:szCs w:val="22"/>
        </w:rPr>
        <w:t xml:space="preserve"> : La Commune de Remicourt est mandatée pour exécuter la procédure et pour intervenir, au nom de l'Association Intercommunale pour le Démergement et l'Epuration des communes de la province de Liège (AIDE), à l'attribution du marché. </w:t>
      </w:r>
    </w:p>
    <w:p w14:paraId="0D0CE0B8" w14:textId="6C1EF9FD"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6</w:t>
      </w:r>
      <w:r w:rsidRPr="005C6946">
        <w:rPr>
          <w:rFonts w:ascii="Times New Roman" w:hAnsi="Times New Roman" w:cs="Times New Roman"/>
          <w:sz w:val="22"/>
          <w:szCs w:val="22"/>
        </w:rPr>
        <w:t xml:space="preserve"> : En cas de litige concernant ce marché public, chaque pouvoir adjudicateur est responsable pour les coûts éventuels occasionnés par celui-ci, à concurrence de sa participation au marché. </w:t>
      </w:r>
    </w:p>
    <w:p w14:paraId="54371269" w14:textId="7B695E23"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7</w:t>
      </w:r>
      <w:r w:rsidRPr="005C6946">
        <w:rPr>
          <w:rFonts w:ascii="Times New Roman" w:hAnsi="Times New Roman" w:cs="Times New Roman"/>
          <w:sz w:val="22"/>
          <w:szCs w:val="22"/>
        </w:rPr>
        <w:t xml:space="preserve"> : Copie de cette décision est transmise aux pouvoirs adjudicateurs participants. </w:t>
      </w:r>
    </w:p>
    <w:p w14:paraId="6BE00E2F" w14:textId="144D4F0B"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8</w:t>
      </w:r>
      <w:r w:rsidRPr="005C6946">
        <w:rPr>
          <w:rFonts w:ascii="Times New Roman" w:hAnsi="Times New Roman" w:cs="Times New Roman"/>
          <w:sz w:val="22"/>
          <w:szCs w:val="22"/>
        </w:rPr>
        <w:t xml:space="preserve"> : De compléter, d'approuver et d'envoyer l'avis de marché au niveau national. </w:t>
      </w:r>
    </w:p>
    <w:p w14:paraId="7AB28D91" w14:textId="74DE02E1" w:rsidR="00EC7D63" w:rsidRPr="005C6946"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9</w:t>
      </w:r>
      <w:r w:rsidRPr="005C6946">
        <w:rPr>
          <w:rFonts w:ascii="Times New Roman" w:hAnsi="Times New Roman" w:cs="Times New Roman"/>
          <w:sz w:val="22"/>
          <w:szCs w:val="22"/>
        </w:rPr>
        <w:t xml:space="preserve"> : De financer cette dépense par le crédit inscrit au budget extraordinaire de l’exercice 2025, article 421/731-60 (n° de projet 20250043). </w:t>
      </w:r>
    </w:p>
    <w:p w14:paraId="2EEDFA19" w14:textId="77777777" w:rsidR="00EC7D63" w:rsidRDefault="003E1155">
      <w:pPr>
        <w:pStyle w:val="QHx2pod"/>
        <w:rPr>
          <w:rFonts w:ascii="Times New Roman" w:hAnsi="Times New Roman" w:cs="Times New Roman"/>
          <w:sz w:val="22"/>
          <w:szCs w:val="22"/>
        </w:rPr>
      </w:pPr>
      <w:r w:rsidRPr="005C6946">
        <w:rPr>
          <w:rStyle w:val="QHx8pod"/>
          <w:rFonts w:ascii="Times New Roman" w:hAnsi="Times New Roman" w:cs="Times New Roman"/>
          <w:sz w:val="22"/>
          <w:szCs w:val="22"/>
        </w:rPr>
        <w:t>Article 10</w:t>
      </w:r>
      <w:r w:rsidRPr="005C6946">
        <w:rPr>
          <w:rFonts w:ascii="Times New Roman" w:hAnsi="Times New Roman" w:cs="Times New Roman"/>
          <w:sz w:val="22"/>
          <w:szCs w:val="22"/>
        </w:rPr>
        <w:t xml:space="preserve"> : Ce crédit fera l'objet d'une prochaine modification budgétaire si nécessaire.</w:t>
      </w:r>
    </w:p>
    <w:p w14:paraId="7A70120C" w14:textId="77777777" w:rsidR="00E05411" w:rsidRPr="005C6946" w:rsidRDefault="00E05411">
      <w:pPr>
        <w:pStyle w:val="QHx2pod"/>
        <w:rPr>
          <w:rFonts w:ascii="Times New Roman" w:hAnsi="Times New Roman" w:cs="Times New Roman"/>
          <w:sz w:val="22"/>
          <w:szCs w:val="22"/>
        </w:rPr>
      </w:pPr>
    </w:p>
    <w:sectPr w:rsidR="00E05411" w:rsidRPr="005C6946">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10FFC"/>
    <w:multiLevelType w:val="multilevel"/>
    <w:tmpl w:val="E2EAB3B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0FC784E"/>
    <w:multiLevelType w:val="multilevel"/>
    <w:tmpl w:val="31FE60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ADF0C13"/>
    <w:multiLevelType w:val="multilevel"/>
    <w:tmpl w:val="B23ACA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FE3468B"/>
    <w:multiLevelType w:val="multilevel"/>
    <w:tmpl w:val="1A800F2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6225895"/>
    <w:multiLevelType w:val="multilevel"/>
    <w:tmpl w:val="38707E4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7D545967"/>
    <w:multiLevelType w:val="multilevel"/>
    <w:tmpl w:val="1C30A90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90844570">
    <w:abstractNumId w:val="4"/>
  </w:num>
  <w:num w:numId="2" w16cid:durableId="215433660">
    <w:abstractNumId w:val="5"/>
  </w:num>
  <w:num w:numId="3" w16cid:durableId="867790322">
    <w:abstractNumId w:val="3"/>
  </w:num>
  <w:num w:numId="4" w16cid:durableId="1745834657">
    <w:abstractNumId w:val="1"/>
  </w:num>
  <w:num w:numId="5" w16cid:durableId="1364474140">
    <w:abstractNumId w:val="2"/>
  </w:num>
  <w:num w:numId="6" w16cid:durableId="1611006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63"/>
    <w:rsid w:val="000378E8"/>
    <w:rsid w:val="000E7745"/>
    <w:rsid w:val="00351C38"/>
    <w:rsid w:val="003E1155"/>
    <w:rsid w:val="005B16C5"/>
    <w:rsid w:val="005C6946"/>
    <w:rsid w:val="009A6548"/>
    <w:rsid w:val="00AD0D50"/>
    <w:rsid w:val="00B04E86"/>
    <w:rsid w:val="00C5576E"/>
    <w:rsid w:val="00E05411"/>
    <w:rsid w:val="00EC7D63"/>
    <w:rsid w:val="00F7554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7E063"/>
  <w15:docId w15:val="{679B1E85-6FD3-428E-B200-4EBCBF8C1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QHx1pod">
    <w:name w:val="QHx1pod"/>
    <w:qFormat/>
    <w:rPr>
      <w:b/>
      <w:u w:val="single"/>
    </w:rPr>
  </w:style>
  <w:style w:type="character" w:customStyle="1" w:styleId="QHx3pod">
    <w:name w:val="QHx3pod"/>
    <w:qFormat/>
    <w:rPr>
      <w:i/>
    </w:rPr>
  </w:style>
  <w:style w:type="character" w:customStyle="1" w:styleId="QHx4pod">
    <w:name w:val="QHx4pod"/>
    <w:qFormat/>
    <w:rPr>
      <w:b/>
    </w:rPr>
  </w:style>
  <w:style w:type="character" w:customStyle="1" w:styleId="QHx6pod">
    <w:name w:val="QHx6pod"/>
    <w:qFormat/>
    <w:rPr>
      <w:b/>
      <w:i/>
    </w:rPr>
  </w:style>
  <w:style w:type="character" w:customStyle="1" w:styleId="QHx8pod">
    <w:name w:val="QHx8pod"/>
    <w:qFormat/>
    <w:rPr>
      <w:u w:val="single"/>
    </w:rPr>
  </w:style>
  <w:style w:type="character" w:customStyle="1" w:styleId="QHx10pod">
    <w:name w:val="QHx10pod"/>
    <w:qFormat/>
    <w:rPr>
      <w:vertAlign w:val="superscript"/>
    </w:rPr>
  </w:style>
  <w:style w:type="character" w:customStyle="1" w:styleId="QHx13pod">
    <w:name w:val="QHx13pod"/>
    <w:qFormat/>
    <w:rPr>
      <w:b/>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QHx2pod">
    <w:name w:val="QHx2pod"/>
    <w:basedOn w:val="Normal"/>
    <w:qFormat/>
    <w:pPr>
      <w:jc w:val="both"/>
    </w:pPr>
  </w:style>
  <w:style w:type="paragraph" w:customStyle="1" w:styleId="QHx7pod">
    <w:name w:val="QHx7pod"/>
    <w:basedOn w:val="Normal"/>
    <w:qFormat/>
    <w:pPr>
      <w:ind w:left="2182"/>
      <w:jc w:val="both"/>
    </w:pPr>
  </w:style>
  <w:style w:type="paragraph" w:customStyle="1" w:styleId="QHx9pod">
    <w:name w:val="QHx9pod"/>
    <w:basedOn w:val="Normal"/>
    <w:qFormat/>
    <w:pPr>
      <w:ind w:left="116"/>
      <w:jc w:val="both"/>
    </w:pPr>
  </w:style>
  <w:style w:type="paragraph" w:customStyle="1" w:styleId="QHx11pod">
    <w:name w:val="QHx11pod"/>
    <w:basedOn w:val="podBulletItem"/>
    <w:qFormat/>
    <w:pPr>
      <w:jc w:val="both"/>
    </w:pPr>
  </w:style>
  <w:style w:type="paragraph" w:customStyle="1" w:styleId="QHx12pod">
    <w:name w:val="QHx12pod"/>
    <w:basedOn w:val="Normal"/>
    <w:qFormat/>
    <w:pPr>
      <w:ind w:left="975"/>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12</Pages>
  <Words>7319</Words>
  <Characters>40257</Characters>
  <Application>Microsoft Office Word</Application>
  <DocSecurity>0</DocSecurity>
  <Lines>335</Lines>
  <Paragraphs>94</Paragraphs>
  <ScaleCrop>false</ScaleCrop>
  <HeadingPairs>
    <vt:vector size="2" baseType="variant">
      <vt:variant>
        <vt:lpstr>Titre</vt:lpstr>
      </vt:variant>
      <vt:variant>
        <vt:i4>1</vt:i4>
      </vt:variant>
    </vt:vector>
  </HeadingPairs>
  <TitlesOfParts>
    <vt:vector size="1" baseType="lpstr">
      <vt:lpstr>tmpBC2HZr</vt:lpstr>
    </vt:vector>
  </TitlesOfParts>
  <Company/>
  <LinksUpToDate>false</LinksUpToDate>
  <CharactersWithSpaces>47482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tmpBC2HZr</dc:title>
  <dc:subject/>
  <dc:creator>Antoine Duchêne</dc:creator>
  <dc:description/>
  <cp:lastModifiedBy>Veronique Timmermans</cp:lastModifiedBy>
  <cp:revision>8</cp:revision>
  <cp:lastPrinted>2025-10-15T13:46:00Z</cp:lastPrinted>
  <dcterms:created xsi:type="dcterms:W3CDTF">2025-10-15T12:40:00Z</dcterms:created>
  <dcterms:modified xsi:type="dcterms:W3CDTF">2026-01-21T12:37:00Z</dcterms:modified>
  <dc:language>en-US</dc:language>
</cp:coreProperties>
</file>